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332"/>
          <w:sz w:val="44"/>
          <w:szCs w:val="44"/>
        </w:rPr>
        <w:t xml:space="preserve">CLIMATE DIPLOMACY</w:t>
      </w:r>
    </w:p>
    <w:p>
      <w:pPr>
        <w:spacing w:after="60"/>
        <w:jc w:val="center"/>
      </w:pPr>
      <w:r>
        <w:rPr>
          <w:rFonts w:ascii="Arial" w:cs="Arial" w:eastAsia="Arial" w:hAnsi="Arial"/>
          <w:color w:val="2D6A4F"/>
          <w:sz w:val="28"/>
          <w:szCs w:val="28"/>
        </w:rPr>
        <w:t xml:space="preserve">Academic Model Reference Guide</w:t>
      </w:r>
    </w:p>
    <w:p>
      <w:pPr>
        <w:spacing w:after="200"/>
        <w:jc w:val="center"/>
      </w:pPr>
      <w:r>
        <w:rPr>
          <w:rFonts w:ascii="Arial" w:cs="Arial" w:eastAsia="Arial" w:hAnsi="Arial"/>
          <w:color w:val="6C757D"/>
          <w:sz w:val="20"/>
          <w:szCs w:val="20"/>
        </w:rPr>
        <w:t xml:space="preserve">POL23200 — Environmental Politics in International Comparison | Prof. Dr. Miranda Schreurs | TUM</w:t>
      </w:r>
    </w:p>
    <w:p>
      <w:pPr>
        <w:spacing w:after="120" w:line="276"/>
      </w:pPr>
      <w:r>
        <w:rPr>
          <w:rFonts w:ascii="Arial" w:cs="Arial" w:eastAsia="Arial" w:hAnsi="Arial"/>
          <w:sz w:val="22"/>
          <w:szCs w:val="22"/>
        </w:rPr>
        <w:t xml:space="preserve">This document details every academic model implemented in Climate Diplomacy: what each model does, how it works, its key parameters and trade-offs, how it is implemented as a game mechanic, and how it aligns with the module’s intended learning outcomes.</w:t>
      </w:r>
    </w:p>
    <w:p>
      <w:r>
        <w:br w:type="page"/>
      </w:r>
    </w:p>
    <w:p>
      <w:pPr>
        <w:pStyle w:val="Heading2"/>
        <w:spacing w:after="150" w:before="300"/>
      </w:pPr>
      <w:r>
        <w:t xml:space="preserve">1. Tragedy of the Commons</w:t>
      </w:r>
    </w:p>
    <w:p>
      <w:pPr>
        <w:spacing w:after="120" w:line="276"/>
        <w:rPr>
          <w:i/>
          <w:iCs/>
          <w:color w:val="6C757D"/>
          <w:sz w:val="20"/>
          <w:szCs w:val="20"/>
        </w:rPr>
      </w:pPr>
      <w:r>
        <w:rPr>
          <w:rFonts w:ascii="Arial" w:cs="Arial" w:eastAsia="Arial" w:hAnsi="Arial"/>
          <w:i/>
          <w:iCs/>
          <w:color w:val="6C757D"/>
          <w:sz w:val="20"/>
          <w:szCs w:val="20"/>
        </w:rPr>
        <w:t xml:space="preserve">Hardin, G. (1968) ‘The Tragedy of the Commons’, Science, 162(3859), pp. 1243–1248.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Explains how shared resources are inevitably degraded when individuals act in rational self-interest. Each actor gains the full benefit of exploitation but bears only a fraction of the cost. Without governance, the shared resource collapses.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Hardin uses the metaphor of herders adding cattle to a shared pasture. Each herder gains +1 animal’s worth of value but the overgrazing cost is distributed across all herders. The rational choice is always to add more cattle, until the pasture is destroyed. The model assumes: (a) open access (no exclusion), (b) rival consumption (one unit used = one unit gone), (c) rational self-interest, (d) no communication or binding agreements.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N actors sharing a resource R with carrying capacity K. Each actor’s extraction rate e_i. Total extraction E = Σe_i. Resource degrades when E &gt; K. Individual payoff = e_i × value – (degradation cost / N). The tragedy: marginal private gain &gt; marginal private cost, so each actor over-extracts.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Hardin’s original solution was “mutual coercion, mutually agreed upon” — essentially top-down regulation. Critics (especially Ostrom) showed commons can be governed without privatisation or state control. The model is strongest for truly open-access resources (atmosphere, oceans) where exclusion is infeasible — which is exactly climate change.</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The atmosphere is the shared pasture. 8 countries each build fossil infrastructure that produces CO₂ feeding a global temperature variable. Temperature penalties (happiness −2/cycle above 2.0°C, farm yields −20%) hit ALL countries equally. Unilateral emission cuts cost the acting country fully but benefit all 8 equally (1/8 each). No world authority enforces cooperation.</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1 (identify key theories): The tragedy is the foundational mechanic — every other model builds on it. ILO 4 (compare actor constellations): 8 asymmetric countries create different incentive structures within the same commons problem.</w:t>
            </w:r>
          </w:p>
        </w:tc>
      </w:tr>
    </w:tbl>
    <w:p>
      <w:pPr>
        <w:spacing w:after="200"/>
      </w:pPr>
    </w:p>
    <w:p>
      <w:pPr>
        <w:pStyle w:val="Heading2"/>
        <w:spacing w:after="150" w:before="300"/>
      </w:pPr>
      <w:r>
        <w:t xml:space="preserve">2. Free-Rider Problem &amp; Collective Action</w:t>
      </w:r>
    </w:p>
    <w:p>
      <w:pPr>
        <w:spacing w:after="120" w:line="276"/>
        <w:rPr>
          <w:i/>
          <w:iCs/>
          <w:color w:val="6C757D"/>
          <w:sz w:val="20"/>
          <w:szCs w:val="20"/>
        </w:rPr>
      </w:pPr>
      <w:r>
        <w:rPr>
          <w:rFonts w:ascii="Arial" w:cs="Arial" w:eastAsia="Arial" w:hAnsi="Arial"/>
          <w:i/>
          <w:iCs/>
          <w:color w:val="6C757D"/>
          <w:sz w:val="20"/>
          <w:szCs w:val="20"/>
        </w:rPr>
        <w:t xml:space="preserve">Olson, M. (1965) The Logic of Collective Action. Cambridge, MA: Harvard University Press.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Explains why rational individuals will not voluntarily contribute to public goods. Since public goods are non-excludable (you benefit whether or not you contributed), the rational strategy is to free-ride on others’ contributions.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Olson’s model: For a group of N actors producing a public good, each actor’s contribution c_i costs them directly but the benefit b is shared equally (b/N per actor). When N is large, b/N &lt; c_i, so no rational actor contributes. Small groups can sometimes overcome this because each member’s share is larger and defection is more visible. Large groups almost never self-organise.</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Group size N, individual cost c_i, total benefit B, individual share B/N. Free-riding condition: c_i &gt; B/N. The larger N, the worse the problem. Selective incentives (rewards for contributors, punishments for free-riders) can partially overcome it.</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Olson’s model is powerful for explaining inaction but somewhat pessimistic — it predicts less cooperation than we observe in practice. Ostrom showed that repeated interaction, communication, and monitoring can sustain cooperation even in larger groups. For climate, the free-rider problem is severe because N=195 nations, costs are immediate, and benefits are delayed decades.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CO₂ reduction is the public good. Cutting emissions costs the acting country (expensive green buildings, lost fossil revenue) but the benefit (lower temperature) is shared equally. With 8 countries, each gets only 1/8 of the climate benefit from their own cuts. The game makes the free-rider temptation visceral: why should YOU spend 80 money on a Solar Farm when the temperature drop benefits Russia equally?</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1 (identify key theories): Olson’s logic directly explains why international climate agreements are so hard to enforce. ILO 2 (distinguish approaches): Contrasts with Ostrom’s polycentric governance as an alternative to Olson’s pessimism.</w:t>
            </w:r>
          </w:p>
        </w:tc>
      </w:tr>
    </w:tbl>
    <w:p>
      <w:pPr>
        <w:spacing w:after="200"/>
      </w:pPr>
    </w:p>
    <w:p>
      <w:r>
        <w:br w:type="page"/>
      </w:r>
    </w:p>
    <w:p>
      <w:pPr>
        <w:pStyle w:val="Heading2"/>
        <w:spacing w:after="150" w:before="300"/>
      </w:pPr>
      <w:r>
        <w:t xml:space="preserve">3. DICE Model &amp; Carbon Pricing</w:t>
      </w:r>
    </w:p>
    <w:p>
      <w:pPr>
        <w:spacing w:after="120" w:line="276"/>
        <w:rPr>
          <w:i/>
          <w:iCs/>
          <w:color w:val="6C757D"/>
          <w:sz w:val="20"/>
          <w:szCs w:val="20"/>
        </w:rPr>
      </w:pPr>
      <w:r>
        <w:rPr>
          <w:rFonts w:ascii="Arial" w:cs="Arial" w:eastAsia="Arial" w:hAnsi="Arial"/>
          <w:i/>
          <w:iCs/>
          <w:color w:val="6C757D"/>
          <w:sz w:val="20"/>
          <w:szCs w:val="20"/>
        </w:rPr>
        <w:t xml:space="preserve">Nordhaus, W. (2018) ‘Climate Change: The Ultimate Challenge for Economics’, Nobel Prize Lecture.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The Dynamic Integrated Climate-Economy (DICE) model integrates climate science with economic modelling to determine the optimal carbon price. It treats CO₂ emissions as a negative externality and uses a carbon tax to internalise the social cost of carbon, shifting investment incentives away from fossil fuels.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DICE couples a Ramsey growth model with a simple climate model. The economy produces output using capital and labour, emitting CO₂ as a by-product. CO₂ accumulates in the atmosphere, raising temperature, which causes damages (reducing GDP). A carbon tax raises the cost of emissions, making fossil investment less attractive relative to clean alternatives. Key insight: the tax does NOT directly remove CO₂ — it changes behaviour by making pollution expensive.</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Social cost of carbon (SCC): ~$50–200/tCO₂ depending on discount rate. Discount rate δ: Nordhaus uses ~3% (market-based); Stern uses ~1.4% (ethical). Damage function: ΔGDP = α × T² where T = temperature rise. Abatement cost: rises steeply with ambition level. Optimal tax path: starts low, rises over time.</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The biggest debate is the discount rate. Nordhaus’s higher rate implies gradual action; Stern’s lower rate implies urgent action now. Nordhaus was criticised for being too conservative — his optimal path allows 3.5°C warming. The model assumes smooth damages, but real climate impacts may have tipping points. It also treats all countries as one, ignoring distributional effects.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Each country sets a carbon tax rate (0–100). Tax collects revenue proportional to national emissions: revenue = tax_rate × national_CO₂ × scaling_factor. Critically, the tax does NOT reduce CO₂ — players must physically demolish fossil plants and build green alternatives. Higher tax = more revenue but economic drag (happiness penalty from brown faction). This reproduces Nordhaus’s key insight: pricing changes behaviour, it doesn’t clean the air.</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1 (identify key theories): Carbon pricing is the dominant policy instrument in environmental economics. ILO 3 (apply comparative methods): Players can compare tax rates and outcomes across 8 countries in real time. ILO 5 (evaluate outcomes): Tax rate is one of the 6 pioneer/laggard metrics.</w:t>
            </w:r>
          </w:p>
        </w:tc>
      </w:tr>
    </w:tbl>
    <w:p>
      <w:pPr>
        <w:spacing w:after="200"/>
      </w:pPr>
    </w:p>
    <w:p>
      <w:pPr>
        <w:pStyle w:val="Heading2"/>
        <w:spacing w:after="150" w:before="300"/>
      </w:pPr>
      <w:r>
        <w:t xml:space="preserve">4. Double Dividend Hypothesis</w:t>
      </w:r>
    </w:p>
    <w:p>
      <w:pPr>
        <w:spacing w:after="120" w:line="276"/>
        <w:rPr>
          <w:i/>
          <w:iCs/>
          <w:color w:val="6C757D"/>
          <w:sz w:val="20"/>
          <w:szCs w:val="20"/>
        </w:rPr>
      </w:pPr>
      <w:r>
        <w:rPr>
          <w:rFonts w:ascii="Arial" w:cs="Arial" w:eastAsia="Arial" w:hAnsi="Arial"/>
          <w:i/>
          <w:iCs/>
          <w:color w:val="6C757D"/>
          <w:sz w:val="20"/>
          <w:szCs w:val="20"/>
        </w:rPr>
        <w:t xml:space="preserve">Goulder, L. (1995) ‘Environmental Taxation and the Double Dividend’, National Tax Journal, 48(2), pp. 157–183.
Freire-González, J. (2018) ‘Double dividend in CGE modelling literature’, Journal of Policy Modeling, 40(1), pp. 194–210.
Federal Reserve (2021) ‘Recycling Carbon Tax Revenue to Maximize Welfare’, FEDS Working Paper 2021-023.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Asks whether carbon tax revenue can be “recycled” to produce a second economic benefit beyond the environmental improvement. The “strong” form claims revenue recycling can make the economy better off than without any tax; the “weak” form says recycling merely reduces the net cost.</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Goulder distinguishes three revenue uses: (1) reduce distortionary taxes (income, payroll) — theoretically most efficient; (2) lump-sum rebates to citizens — regressive but politically popular; (3) subsidise green investment — accelerates transition. Freire-González’s meta-analysis of 69 computable general equilibrium (CGE) simulations found: the recycling method matters more than the tax level. Green subsidy outperforms lump-sum in 72% of models. The Federal Reserve’s 2021 analysis confirmed lump-sum is the least welfare-efficient option.</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Tax revenue R = τ × E (tax rate × emissions). Recycling options: (a) R → reduce income tax → ΔGDP positive if tax interaction effect &lt; revenue recycling effect; (b) R → lump-sum → happiness boost but no efficiency gain; (c) R → green subsidy → lower marginal abatement cost. Strong double dividend requires the revenue recycling effect to exceed the tax interaction effect.</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The strong double dividend is empirically contested — it holds in some CGE models but not others. Political economy matters: lump-sum is easiest to pass politically (visible benefit to voters) but least efficient economically. Green subsidies are most efficient but create winners and losers (fossil workers lose). The “right” recycling method depends on the country’s economic structure and political constraints.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Three revenue recycling options per country: (1) Citizen Dividend — +happiness bonus, politically popular but least efficient; (2) Green Subsidy — reduces future green build costs, most efficient per CGE evidence; (3) Climate Finance — transfer to developing countries, models Cancún $100B/year pledge. OPEC (90% brown) faces economic ruin from any meaningful tax. EU (70% green) can tax heavily at low political cost.</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2 (distinguish approaches): Three recycling options represent three distinct policy approaches with different theoretical justifications. ILO 5 (evaluate outcomes): Players directly compare the outcomes of different recycling strategies across countries.</w:t>
            </w:r>
          </w:p>
        </w:tc>
      </w:tr>
    </w:tbl>
    <w:p>
      <w:pPr>
        <w:spacing w:after="200"/>
      </w:pPr>
    </w:p>
    <w:p>
      <w:r>
        <w:br w:type="page"/>
      </w:r>
    </w:p>
    <w:p>
      <w:pPr>
        <w:pStyle w:val="Heading2"/>
        <w:spacing w:after="150" w:before="300"/>
      </w:pPr>
      <w:r>
        <w:t xml:space="preserve">5. Two-Level Games</w:t>
      </w:r>
    </w:p>
    <w:p>
      <w:pPr>
        <w:spacing w:after="120" w:line="276"/>
        <w:rPr>
          <w:i/>
          <w:iCs/>
          <w:color w:val="6C757D"/>
          <w:sz w:val="20"/>
          <w:szCs w:val="20"/>
        </w:rPr>
      </w:pPr>
      <w:r>
        <w:rPr>
          <w:rFonts w:ascii="Arial" w:cs="Arial" w:eastAsia="Arial" w:hAnsi="Arial"/>
          <w:i/>
          <w:iCs/>
          <w:color w:val="6C757D"/>
          <w:sz w:val="20"/>
          <w:szCs w:val="20"/>
        </w:rPr>
        <w:t xml:space="preserve">Putnam, R. (1988) ‘Diplomacy and Domestic Politics’, International Organization, 42(3), pp. 427–460.
Mezzanotti, F. and Starkman, H. (CEPR DP20578) — Green/brown establishment ratio predicts climate voting.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International negotiation outcomes are determined by the overlap between what is acceptable domestically in each country (the “win-set”). Leaders negotiate simultaneously at two levels: Level I (international table) and Level II (domestic ratification). A deal must be within the win-set of all parties to succeed.</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Each country has a “win-set” W_i defined by domestic constraints. An international agreement succeeds only if the intersection ∩W_i is non-empty. Larger win-sets make agreement easier but give the country less bargaining power. Smaller win-sets give leverage (“my hands are tied”) but risk deadlock. Domestic faction structure determines win-set boundaries.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Win-set size W = f(domestic preferences, institutions, negotiator strategy). Key variables: faction heterogeneity (more divided = smaller W), issue salience (higher = smaller W), side-payments (expand W), ratification rules (unanimity shrinks W vs. majority). Mezzanotti &amp; Starkman parameter: green/brown establishment employment ratio predicts climate policy ambition (r² = 0.67 across OECD).</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Putnam’s framework explains why “obviously good” international deals fail — they fall outside one country’s domestic win-set. The model is primarily qualitative/conceptual rather than formally mathematical. It works best for bilateral negotiations; multilateral settings (8 countries) are harder to model but the core logic holds. The framework doesn’t predict which level dominates — that’s context-dependent.</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Each country has Brown + Green factions with ratios from real data: USA 67/33, EU 30/70, Russia 77/23, China 54/46, India 40/60, OPEC 90/10, LatAm 35/65, Africa 33/67. Building fossil makes Brown happy (+satisfaction), Green angry (−satisfaction), and vice versa. Faction satisfaction feeds into national happiness: faction_modifier = (brown% × brown_sat + green% × green_sat) / 100. This IS the domestic constraint: OPEC cannot set a carbon tax without destroying its 90% brown faction’s satisfaction.</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1 (identify key theories): Two-level games is a foundational theory of international negotiation. ILO 4 (compare actor constellations): 8 countries with different faction splits demonstrate how domestic politics constrains international outcomes differently.</w:t>
            </w:r>
          </w:p>
        </w:tc>
      </w:tr>
    </w:tbl>
    <w:p>
      <w:pPr>
        <w:spacing w:after="200"/>
      </w:pPr>
    </w:p>
    <w:p>
      <w:pPr>
        <w:pStyle w:val="Heading2"/>
        <w:spacing w:after="150" w:before="300"/>
      </w:pPr>
      <w:r>
        <w:t xml:space="preserve">6. Planetary Boundaries</w:t>
      </w:r>
    </w:p>
    <w:p>
      <w:pPr>
        <w:spacing w:after="120" w:line="276"/>
        <w:rPr>
          <w:i/>
          <w:iCs/>
          <w:color w:val="6C757D"/>
          <w:sz w:val="20"/>
          <w:szCs w:val="20"/>
        </w:rPr>
      </w:pPr>
      <w:r>
        <w:rPr>
          <w:rFonts w:ascii="Arial" w:cs="Arial" w:eastAsia="Arial" w:hAnsi="Arial"/>
          <w:i/>
          <w:iCs/>
          <w:color w:val="6C757D"/>
          <w:sz w:val="20"/>
          <w:szCs w:val="20"/>
        </w:rPr>
        <w:t xml:space="preserve">Rockström, J. et al. (2009) ‘A Safe Operating Space for Humanity’, Nature, 461, pp. 472–475.
Richardson, K. et al. (2023) ‘Earth beyond six of nine planetary boundaries’, Science Advances, 9(37).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Identifies 9 Earth system processes with quantitative boundaries that define a “safe operating space” for humanity. Crossing these boundaries risks abrupt, non-linear environmental change with potentially catastrophic consequences. The framework shifts the question from “how much damage can we tolerate?” to “what are the absolute limits?”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Nine boundaries: (1) Climate change (≤350 ppm CO₂ / ≤1.0°C above pre-industrial), (2) Biodiversity loss (≤10 E/MSY), (3) Nitrogen cycle (≤62 Tg N/yr), (4) Phosphorus cycle (≤11 Tg P/yr), (5) Ozone depletion (≥276 DU), (6) Ocean acidification (≥2.75 Ω_arag), (7) Freshwater use (≤4000 km³/yr), (8) Land-system change (≥75% forest cover), (9) Atmospheric aerosols (regional). Each has a control variable, a boundary value, and a zone of uncertainty. Richardson et al. (2023) updated quantification: 6 of 9 boundaries now crossed (climate, biodiversity, nitrogen, phosphorus, land-system, novel entities).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Control variable CV_i for each boundary i. Safe zone: CV_i ≤ boundary_i. Zone of uncertainty: boundary_i &lt; CV_i &lt; danger_i. Danger zone: CV_i ≥ danger_i. Boundaries interact: crossing one can accelerate crossing others (e.g., land-use change accelerates climate change). The framework is precautionary — boundaries are set at the lower end of uncertainty.</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Strengths: provides absolute, science-based limits rather than cost-benefit optimisation (contrast with Nordhaus). Makes planetary limits tangible and policy-relevant. Weaknesses: some boundaries are poorly quantified (novel entities, aerosols). The framework is global — it doesn’t tell individual countries what to do. Boundaries may interact in ways not fully understood. Some critics argue the boundaries are too conservative; others say they’re not conservative enough.</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5 boundary conditions monitored each cycle. Ecological ceiling: global temperature (≥2.0°C triggers resolution), CO₂ concentration (aggregate CO₂ threshold). Social foundation: HDI deficit (avg. human development below threshold), inequality gap (Gini coefficient proxy), political instability (avg. stability below threshold). When a boundary is breached, a summit resolution auto-triggers. This mirrors how scientific consensus forces the international agenda.</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1 (identify key theories): Planetary boundaries are central to modern environmental science and policy. ILO 5 (evaluate outcomes): Boundary status provides an objective, science-based evaluation metric beyond economic indicators.</w:t>
            </w:r>
          </w:p>
        </w:tc>
      </w:tr>
    </w:tbl>
    <w:p>
      <w:pPr>
        <w:spacing w:after="200"/>
      </w:pPr>
    </w:p>
    <w:p>
      <w:r>
        <w:br w:type="page"/>
      </w:r>
    </w:p>
    <w:p>
      <w:pPr>
        <w:pStyle w:val="Heading2"/>
        <w:spacing w:after="150" w:before="300"/>
      </w:pPr>
      <w:r>
        <w:t xml:space="preserve">7. Doughnut Economics</w:t>
      </w:r>
    </w:p>
    <w:p>
      <w:pPr>
        <w:spacing w:after="120" w:line="276"/>
        <w:rPr>
          <w:i/>
          <w:iCs/>
          <w:color w:val="6C757D"/>
          <w:sz w:val="20"/>
          <w:szCs w:val="20"/>
        </w:rPr>
      </w:pPr>
      <w:r>
        <w:rPr>
          <w:rFonts w:ascii="Arial" w:cs="Arial" w:eastAsia="Arial" w:hAnsi="Arial"/>
          <w:i/>
          <w:iCs/>
          <w:color w:val="6C757D"/>
          <w:sz w:val="20"/>
          <w:szCs w:val="20"/>
        </w:rPr>
        <w:t xml:space="preserve">Raworth, K. (2017) Doughnut Economics: Seven Ways to Think Like a 21st-Century Economist. London: Random House.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Combines Rockström’s planetary boundaries (ecological ceiling) with a social foundation of minimum human needs to create the “doughnut” — a safe and just space between overshooting environmental limits and falling short on social needs. The goal is to operate within the doughnut ring, not to maximise GDP.</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The doughnut has two rings: the outer ring is Rockström’s 9 planetary boundaries (ecological ceiling); the inner ring is 12 social foundation dimensions derived from the UN SDGs (water, food, health, education, income, political voice, social equity, gender equality, housing, networks, energy, jobs). Overshoot = exceeding the ecological ceiling. Shortfall = falling below the social foundation. The “safe and just space for humanity” is the doughnut between them.</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Ecological ceiling: 9 boundary variables (see Rockström). Social foundation: 12 dimensions, each with threshold indicators. A country is “in the doughnut” when all 12 social indicators are above threshold AND all 9 ecological indicators are below boundary. Currently, NO country is in the doughnut — rich countries overshoot ecologically, poor countries fall short socially.</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Raworth’s model is more normative than positive — it says what we should aim for, not how to get there. It challenges GDP growth as a goal, which is politically radical. Critics argue it’s too vague on mechanisms. The framework highlights the fundamental tension: development to meet social needs increases ecological pressure, but staying within ecological limits constrains development. This IS the climate justice dilemma.</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The game tracks both ceiling and floor. Summit resolutions trigger on BOTH ecological breaches (temperature, CO₂) AND social shortfalls (HDI, inequality, instability). Victory requires balanced performance: you can’t win by being economically rich but ecologically destructive (overshoot), or ecologically clean but socially impoverished (shortfall). The pioneer/laggard score captures multi-dimensional performance within the doughnut.</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1 (identify key theories): Doughnut economics is an influential framework challenging traditional growth-focused thinking. ILO 3 (apply comparative methods): The doughnut provides a multi-dimensional comparison framework — no single metric suffices. ILO 5 (evaluate outcomes): Success is defined as operating within the doughnut, not maximising any single variable.</w:t>
            </w:r>
          </w:p>
        </w:tc>
      </w:tr>
    </w:tbl>
    <w:p>
      <w:pPr>
        <w:spacing w:after="200"/>
      </w:pPr>
    </w:p>
    <w:p>
      <w:pPr>
        <w:pStyle w:val="Heading2"/>
        <w:spacing w:after="150" w:before="300"/>
      </w:pPr>
      <w:r>
        <w:t xml:space="preserve">8. Pioneer/Laggard Gap Analysis</w:t>
      </w:r>
    </w:p>
    <w:p>
      <w:pPr>
        <w:spacing w:after="120" w:line="276"/>
        <w:rPr>
          <w:i/>
          <w:iCs/>
          <w:color w:val="6C757D"/>
          <w:sz w:val="20"/>
          <w:szCs w:val="20"/>
        </w:rPr>
      </w:pPr>
      <w:r>
        <w:rPr>
          <w:rFonts w:ascii="Arial" w:cs="Arial" w:eastAsia="Arial" w:hAnsi="Arial"/>
          <w:i/>
          <w:iCs/>
          <w:color w:val="6C757D"/>
          <w:sz w:val="20"/>
          <w:szCs w:val="20"/>
        </w:rPr>
        <w:t xml:space="preserve">Liefferink, D. et al. (2009) ‘Leaders and Laggards in Environmental Policy’, JEPP, 16(5), pp. 677–700.
Holzinger, K. and Sommerer, T. (2012) ‘Was verursacht die Aufwärtsspirale in der Umweltpolitik?’, ÖZP, 41(1), pp. 53–72.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Measures each country’s distance from the best performer (pioneer) across multiple environmental policy dimensions simultaneously. Instead of ranking countries on a single metric, the gap approach captures multi-dimensional policy ambition and identifies which dimensions each country leads or lags on.</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For each dimension d, identify the pioneer (best-performing country) and compute each country’s normalised gap: gap_d = (value_country – value_pioneer) / (value_worst – value_pioneer). Gap of 0 = pioneer, gap of 1 = worst performer. Composite gap = average across all dimensions. The pioneer IS the benchmark — it shifts dynamically as countries act. Holzinger &amp; Sommerer extend this by analysing what causes upward spirals in environmental regulation.</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D dimensions (we use 6). For each d: min_d = pioneer value, max_d = laggard value. Normalised gap g_id = (x_id – min_d) / (max_d – min_d). Composite score G_i = (1/D) ∑ g_id. Rankings: sort countries by G_i ascending (lowest gap = closest to pioneer). Equal weighting assumes all dimensions matter equally — could use expert weights instead.</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Strengths: captures multi-dimensional performance (a country can be a pioneer on one dimension and a laggard on another), provides relative rather than absolute assessment (standards shift as the frontier advances), directly from the module reading list. Weaknesses: equal weighting is arbitrary, sensitive to which dimensions are included, pioneer status can be driven by geography (low emissions from lack of industry, not policy effort). Holzinger &amp; Sommerer address the upward spiral — why environmental standards tend to ratchet upward over time.</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6 metrics equally weighted: (1) CO₂ per capita, (2) green energy ratio, (3) carbon tax level, (4) emission trend (5-cycle moving average), (5) summit voting record (% YES votes), (6) climate finance given. Each normalised to 0–1 where 0 = pioneer. Composite gap score determines victory: 3 countries closest to pioneer across ALL dimensions win. The comparison dashboard shows real-time rankings, radar charts, and historical trends. Money alone cannot win — balanced, multi-dimensional environmental performance is required.</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3 (apply comparative methods): This IS comparative analysis as a game mechanic — directly from the module’s reading list. ILO 5 (evaluate environmental policy outcomes): The gap score is simultaneously the analytical instrument and the victory condition.</w:t>
            </w:r>
          </w:p>
        </w:tc>
      </w:tr>
    </w:tbl>
    <w:p>
      <w:pPr>
        <w:spacing w:after="200"/>
      </w:pPr>
    </w:p>
    <w:p>
      <w:r>
        <w:br w:type="page"/>
      </w:r>
    </w:p>
    <w:p>
      <w:pPr>
        <w:pStyle w:val="Heading2"/>
        <w:spacing w:after="150" w:before="300"/>
      </w:pPr>
      <w:r>
        <w:t xml:space="preserve">9. Polycentric Governance</w:t>
      </w:r>
    </w:p>
    <w:p>
      <w:pPr>
        <w:spacing w:after="120" w:line="276"/>
        <w:rPr>
          <w:i/>
          <w:iCs/>
          <w:color w:val="6C757D"/>
          <w:sz w:val="20"/>
          <w:szCs w:val="20"/>
        </w:rPr>
      </w:pPr>
      <w:r>
        <w:rPr>
          <w:rFonts w:ascii="Arial" w:cs="Arial" w:eastAsia="Arial" w:hAnsi="Arial"/>
          <w:i/>
          <w:iCs/>
          <w:color w:val="6C757D"/>
          <w:sz w:val="20"/>
          <w:szCs w:val="20"/>
        </w:rPr>
        <w:t xml:space="preserve">Ostrom, E. (1990) Governing the Commons. Cambridge: CUP.
Ostrom, E. (2010) ‘Polycentric Systems for Coping with Collective Action and Global Commons’, Journal of Economic Behavior &amp; Organization, 76(3), pp. 636–657.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Challenges both Hardin (privatise the commons) and conventional wisdom (centralise authority). Demonstrates that communities can successfully govern shared resources through self-organisation at multiple, overlapping scales. For climate, argues that a single global treaty is neither necessary nor sufficient — action at city, regional, national, and international levels creates a more robust governance system.</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Ostrom’s 8 design principles for successful commons governance: (1) clearly defined boundaries, (2) proportional equivalence between benefits and costs, (3) collective-choice arrangements (users participate in rule-making), (4) monitoring, (5) graduated sanctions, (6) conflict-resolution mechanisms, (7) minimal recognition of rights to organise, (8) nested enterprises (for large-scale resources). Polycentric governance = multiple, overlapping centres of decision-making at different scales.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N governance centres at scales s_1...s_k. Each centre governs a subset of actors and resources. Redundancy: multiple centres address the same issue at different scales. Experimentation: centres can try different approaches, learn from each other. Key insight: cooperation need not be all-or-nothing. Bilateral deals, regional agreements, and global treaties coexist and reinforce each other.</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Ostrom’s work earned the 2009 Nobel. Strengths: explains real-world cooperation that Hardin’s model predicts is impossible, provides actionable design principles, embraces complexity. Weaknesses: most empirical evidence is from local commons (fisheries, forests, irrigation) — scaling to global commons (atmosphere) is debated. The 8 principles are descriptive, not predictive. Polycentric systems can also produce gaps, overlaps, and contradictions.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Four cooperation channels operate simultaneously: (1) Bilateral trade (direct resource exchange), (2) Transit agreements (third-party passage through territory), (3) Summit resolutions (collective boundary enforcement), (4) Climate finance (wealth transfers to developing nations). No single channel suffices. Players who only trade but ignore summits, or only vote but don’t trade, underperform. The game rewards polycentric engagement across all layers.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1 (identify key theories): Ostrom’s work is foundational to commons governance theory. ILO 2 (distinguish approaches): Contrasts directly with Hardin (privatisation) and centralised regulation. ILO 4 (compare institutions): The 4 cooperation channels represent different institutional forms players must navigate.</w:t>
            </w:r>
          </w:p>
        </w:tc>
      </w:tr>
    </w:tbl>
    <w:p>
      <w:pPr>
        <w:spacing w:after="200"/>
      </w:pPr>
    </w:p>
    <w:p>
      <w:pPr>
        <w:pStyle w:val="Heading2"/>
        <w:spacing w:after="150" w:before="300"/>
      </w:pPr>
      <w:r>
        <w:t xml:space="preserve">10. Distributive Conflict</w:t>
      </w:r>
    </w:p>
    <w:p>
      <w:pPr>
        <w:spacing w:after="120" w:line="276"/>
        <w:rPr>
          <w:i/>
          <w:iCs/>
          <w:color w:val="6C757D"/>
          <w:sz w:val="20"/>
          <w:szCs w:val="20"/>
        </w:rPr>
      </w:pPr>
      <w:r>
        <w:rPr>
          <w:rFonts w:ascii="Arial" w:cs="Arial" w:eastAsia="Arial" w:hAnsi="Arial"/>
          <w:i/>
          <w:iCs/>
          <w:color w:val="6C757D"/>
          <w:sz w:val="20"/>
          <w:szCs w:val="20"/>
        </w:rPr>
        <w:t xml:space="preserve">Aklin, M. and Mildenberger, M. (2020) ‘Prisoners of the Wrong Dilemma’, Global Environmental Politics, 20(4), pp. 4–27.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Argues that climate politics is fundamentally a distributive conflict, not a collective action problem. The main obstacle is not free-riding but the unequal distribution of costs and benefits within and between countries. Winners and losers from climate policy exist at every level, and losers actively resist.</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Aklin &amp; Mildenberger’s framework: (1) Climate policy creates identifiable winners (green industries, climate-vulnerable populations, future generations) and losers (fossil fuel workers, energy-intensive industries, fossil-exporting countries). (2) Losers are often concentrated and politically organised; winners are diffuse. (3) The politics of climate is therefore about managing distributional conflict, not overcoming free-riding. (4) The CBDR principle (Common But Differentiated Responsibilities, Rio 1992) formalises the international dimension.</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Distributive axes: North-South (developed vs. developing), fossil exporters vs. importers, energy-intensive vs. service economies, brown workers vs. green workers, present vs. future generations. Within-country: brown faction employment share predicts opposition to climate policy (Mezzanotti &amp; Starkman). Between-country: historical emissions vs. current vulnerability creates justice claims (CBDR).</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This framework reframes the debate. If climate politics is a collective action problem, the solution is better institutions (enforcement, monitoring). If it’s a distributive conflict, the solution is compensation, side-payments, and political management of losers. Aklin &amp; Mildenberger argue most climate models assume the wrong problem structure, leading to misguided policy prescriptions. The framework is powerful but raises the question: who compensates whom, and how?</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Multiple distributive conflict axes in the game: (1) North-South: India and Africa contribute least to emissions but suffer most from warming (low starting resources, high population, food vulnerability). This operationalises CBDR (Rio 1992). (2) Fossil exporters: OPEC and Russia face existential threats from green transition (90% and 77% brown factions). (3) Within-country: faction satisfaction creates identifiable winners and losers from every policy decision. Building green helps the green faction but hurts brown workers.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1 (identify key theories): Distributive conflict is an important contemporary challenge to collective action framing. ILO 4 (compare actor constellations): The 8 countries embody different positions in the distributive conflict. ILO 5 (evaluate outcomes): Players experience how distributional effects shape policy feasibility.</w:t>
            </w:r>
          </w:p>
        </w:tc>
      </w:tr>
    </w:tbl>
    <w:p>
      <w:pPr>
        <w:spacing w:after="200"/>
      </w:pPr>
    </w:p>
    <w:p>
      <w:r>
        <w:br w:type="page"/>
      </w:r>
    </w:p>
    <w:p>
      <w:pPr>
        <w:pStyle w:val="Heading2"/>
        <w:spacing w:after="150" w:before="300"/>
      </w:pPr>
      <w:r>
        <w:t xml:space="preserve">11. Comparative Environmental Politics</w:t>
      </w:r>
    </w:p>
    <w:p>
      <w:pPr>
        <w:spacing w:after="120" w:line="276"/>
        <w:rPr>
          <w:i/>
          <w:iCs/>
          <w:color w:val="6C757D"/>
          <w:sz w:val="20"/>
          <w:szCs w:val="20"/>
        </w:rPr>
      </w:pPr>
      <w:r>
        <w:rPr>
          <w:rFonts w:ascii="Arial" w:cs="Arial" w:eastAsia="Arial" w:hAnsi="Arial"/>
          <w:i/>
          <w:iCs/>
          <w:color w:val="6C757D"/>
          <w:sz w:val="20"/>
          <w:szCs w:val="20"/>
        </w:rPr>
        <w:t xml:space="preserve">Schreurs, M.A. (2002) Environmental Politics in Japan, Germany, and the United States. Cambridge: CUP.
Holzinger, K. and Sommerer, T. (2012) in ÖZP, 41(1), pp. 53–72.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Compares environmental policy across countries to identify which factors drive differences in ambition, instruments, and outcomes. Schreurs’s three-country comparison reveals how institutional structures, political culture, and civil society shape environmental policy trajectories. Holzinger &amp; Sommerer analyse the “upward spiral” — why environmental standards tend to ratchet up over time through international competition.</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Schreurs compares Japan, Germany, and the US across multiple dimensions: institutional structure (parliamentary vs. presidential), federalism (German Länder vs. US states vs. Japanese centralisation), civil society strength (strong green movement in Germany vs. industry lobbying in US), and international engagement. The upward spiral mechanism: pioneer countries set high standards → trading partners face competitive pressure to match → standards ratchet upward globally. This is amplified by EU harmonisation.</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Independent variables: political system type, party system, interest group structure, public opinion, economic structure, international integration. Dependent variable: environmental policy ambition (stringency, innovation, implementation effectiveness). Holzinger &amp; Sommerer’s mechanism: pioneer’s regulation → exports face barriers → laggards raise standards to maintain market access → new pioneer emerges → cycle continues.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Trade-offs / Approach</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Comparative analysis is powerful for identifying causal factors but struggles with small-N (few countries, many variables). Schreurs’s three-country design sacrifices generalisability for depth. The upward spiral is optimistic but may stall: the US withdrew from Paris, showing the spiral can reverse. Selection of comparison dimensions is inherently subjective.</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Game Implementation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8 country blocs with profiles drawn from real data (IEA 2024, World Bank, IRENA/ILO 2024). Different starting positions create natural comparison: EU as green pioneer (70% green faction, tech leader), USA as wealthy but emissions-heavy, OPEC as fossil-trapped, Africa as climate-vulnerable but low-emitting. The comparison dashboard enables real-time cross-country analysis across 6 dimensions. The upward spiral emerges when one country’s green transition pressures others through trade and diplomatic channels.</w:t>
            </w:r>
          </w:p>
        </w:tc>
      </w:tr>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Module Alignment</w:t>
            </w:r>
          </w:p>
        </w:tc>
        <w:tc>
          <w:tcPr>
            <w:tcW w:type="dxa" w:w="7160"/>
            <w:tcBorders>
              <w:top w:val="single" w:color="CCCCCC" w:sz="1"/>
              <w:left w:val="single" w:color="CCCCCC" w:sz="1"/>
              <w:bottom w:val="single" w:color="CCCCCC" w:sz="1"/>
              <w:right w:val="single" w:color="CCCCCC" w:sz="1"/>
            </w:tcBorders>
            <w:shd w:fill="F0F7F0" w:val="clear"/>
            <w:tcMar>
              <w:top w:type="dxa" w:w="60"/>
              <w:left w:type="dxa" w:w="100"/>
              <w:bottom w:type="dxa" w:w="60"/>
              <w:right w:type="dxa" w:w="100"/>
            </w:tcMar>
          </w:tcPr>
          <w:p>
            <w:pPr>
              <w:spacing w:line="276"/>
            </w:pPr>
            <w:r>
              <w:rPr>
                <w:rFonts w:ascii="Arial" w:cs="Arial" w:eastAsia="Arial" w:hAnsi="Arial"/>
                <w:sz w:val="20"/>
                <w:szCs w:val="20"/>
              </w:rPr>
              <w:t xml:space="preserve">ILO 3 (apply comparative methods): The entire game structure IS comparative analysis. ILO 4 (compare institutions and actor constellations): 8 countries with different institutional structures, economic profiles, and political constraints. ILO 5 (evaluate outcomes): Pioneer/laggard scoring directly implements comparative evaluation. This model is from the module’s core reading list.</w:t>
            </w:r>
          </w:p>
        </w:tc>
      </w:tr>
    </w:tbl>
    <w:p>
      <w:pPr>
        <w:spacing w:after="200"/>
      </w:pPr>
    </w:p>
    <w:p>
      <w:pPr>
        <w:pStyle w:val="Heading1"/>
        <w:spacing w:after="150" w:before="300"/>
      </w:pPr>
      <w:r>
        <w:t xml:space="preserve">Summary: Model → Game Mechanic → ILO Mapping</w:t>
      </w:r>
    </w:p>
    <w:p>
      <w:pPr>
        <w:spacing w:after="120" w:line="276"/>
      </w:pPr>
      <w:r>
        <w:rPr>
          <w:rFonts w:ascii="Arial" w:cs="Arial" w:eastAsia="Arial" w:hAnsi="Arial"/>
          <w:sz w:val="22"/>
          <w:szCs w:val="22"/>
        </w:rPr>
        <w:t xml:space="preserve">The table below summarises how each model connects to a game mechanic and which ILOs it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80"/>
              <w:bottom w:type="dxa" w:w="60"/>
              <w:right w:type="dxa" w:w="80"/>
            </w:tcMar>
          </w:tcPr>
          <w:p>
            <w:r>
              <w:rPr>
                <w:rFonts w:ascii="Arial" w:cs="Arial" w:eastAsia="Arial" w:hAnsi="Arial"/>
                <w:b/>
                <w:bCs/>
                <w:color w:val="FFFFFF"/>
                <w:sz w:val="18"/>
                <w:szCs w:val="18"/>
              </w:rPr>
              <w:t xml:space="preserve">Model</w:t>
            </w:r>
          </w:p>
        </w:tc>
        <w:tc>
          <w:tcPr>
            <w:tcW w:type="dxa" w:w="2800"/>
            <w:tcBorders>
              <w:top w:val="single" w:color="CCCCCC" w:sz="1"/>
              <w:left w:val="single" w:color="CCCCCC" w:sz="1"/>
              <w:bottom w:val="single" w:color="CCCCCC" w:sz="1"/>
              <w:right w:val="single" w:color="CCCCCC" w:sz="1"/>
            </w:tcBorders>
            <w:shd w:fill="1B4332" w:val="clear"/>
            <w:tcMar>
              <w:top w:type="dxa" w:w="60"/>
              <w:left w:type="dxa" w:w="80"/>
              <w:bottom w:type="dxa" w:w="60"/>
              <w:right w:type="dxa" w:w="80"/>
            </w:tcMar>
          </w:tcPr>
          <w:p>
            <w:r>
              <w:rPr>
                <w:rFonts w:ascii="Arial" w:cs="Arial" w:eastAsia="Arial" w:hAnsi="Arial"/>
                <w:b/>
                <w:bCs/>
                <w:color w:val="FFFFFF"/>
                <w:sz w:val="18"/>
                <w:szCs w:val="18"/>
              </w:rPr>
              <w:t xml:space="preserve">Game Mechanic</w:t>
            </w:r>
          </w:p>
        </w:tc>
        <w:tc>
          <w:tcPr>
            <w:tcW w:type="dxa" w:w="1800"/>
            <w:tcBorders>
              <w:top w:val="single" w:color="CCCCCC" w:sz="1"/>
              <w:left w:val="single" w:color="CCCCCC" w:sz="1"/>
              <w:bottom w:val="single" w:color="CCCCCC" w:sz="1"/>
              <w:right w:val="single" w:color="CCCCCC" w:sz="1"/>
            </w:tcBorders>
            <w:shd w:fill="1B4332" w:val="clear"/>
            <w:tcMar>
              <w:top w:type="dxa" w:w="60"/>
              <w:left w:type="dxa" w:w="80"/>
              <w:bottom w:type="dxa" w:w="60"/>
              <w:right w:type="dxa" w:w="80"/>
            </w:tcMar>
          </w:tcPr>
          <w:p>
            <w:r>
              <w:rPr>
                <w:rFonts w:ascii="Arial" w:cs="Arial" w:eastAsia="Arial" w:hAnsi="Arial"/>
                <w:b/>
                <w:bCs/>
                <w:color w:val="FFFFFF"/>
                <w:sz w:val="18"/>
                <w:szCs w:val="18"/>
              </w:rPr>
              <w:t xml:space="preserve">ILOs</w:t>
            </w:r>
          </w:p>
        </w:tc>
        <w:tc>
          <w:tcPr>
            <w:tcW w:type="dxa" w:w="2560"/>
            <w:tcBorders>
              <w:top w:val="single" w:color="CCCCCC" w:sz="1"/>
              <w:left w:val="single" w:color="CCCCCC" w:sz="1"/>
              <w:bottom w:val="single" w:color="CCCCCC" w:sz="1"/>
              <w:right w:val="single" w:color="CCCCCC" w:sz="1"/>
            </w:tcBorders>
            <w:shd w:fill="1B4332" w:val="clear"/>
            <w:tcMar>
              <w:top w:type="dxa" w:w="60"/>
              <w:left w:type="dxa" w:w="80"/>
              <w:bottom w:type="dxa" w:w="60"/>
              <w:right w:type="dxa" w:w="80"/>
            </w:tcMar>
          </w:tcPr>
          <w:p>
            <w:r>
              <w:rPr>
                <w:rFonts w:ascii="Arial" w:cs="Arial" w:eastAsia="Arial" w:hAnsi="Arial"/>
                <w:b/>
                <w:bCs/>
                <w:color w:val="FFFFFF"/>
                <w:sz w:val="18"/>
                <w:szCs w:val="18"/>
              </w:rPr>
              <w:t xml:space="preserve">Key Parameter</w:t>
            </w:r>
          </w:p>
        </w:tc>
      </w:tr>
      <w:tr>
        <w:tc>
          <w:tcPr>
            <w:tcW w:type="dxa" w:w="22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Hardin (1968)</w:t>
            </w:r>
          </w:p>
        </w:tc>
        <w:tc>
          <w:tcPr>
            <w:tcW w:type="dxa" w:w="2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Shared atmosphere, global temp</w:t>
            </w:r>
          </w:p>
        </w:tc>
        <w:tc>
          <w:tcPr>
            <w:tcW w:type="dxa" w:w="1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1, 4</w:t>
            </w:r>
          </w:p>
        </w:tc>
        <w:tc>
          <w:tcPr>
            <w:tcW w:type="dxa" w:w="256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CO₂ → temp → penalty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Olson (1965)</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1/8 benefit from own cuts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1, 2</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Cost/benefit asymmetry</w:t>
            </w:r>
          </w:p>
        </w:tc>
      </w:tr>
      <w:tr>
        <w:tc>
          <w:tcPr>
            <w:tcW w:type="dxa" w:w="22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Nordhaus (2018)</w:t>
            </w:r>
          </w:p>
        </w:tc>
        <w:tc>
          <w:tcPr>
            <w:tcW w:type="dxa" w:w="2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Carbon tax slider 0–100</w:t>
            </w:r>
          </w:p>
        </w:tc>
        <w:tc>
          <w:tcPr>
            <w:tcW w:type="dxa" w:w="1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1, 3, 5</w:t>
            </w:r>
          </w:p>
        </w:tc>
        <w:tc>
          <w:tcPr>
            <w:tcW w:type="dxa" w:w="256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Tax rate × emissions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Goulder (1995)</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3 recycling options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2, 5</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Revenue allocation choice</w:t>
            </w:r>
          </w:p>
        </w:tc>
      </w:tr>
      <w:tr>
        <w:tc>
          <w:tcPr>
            <w:tcW w:type="dxa" w:w="22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Putnam (1988)</w:t>
            </w:r>
          </w:p>
        </w:tc>
        <w:tc>
          <w:tcPr>
            <w:tcW w:type="dxa" w:w="2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Brown/Green factions</w:t>
            </w:r>
          </w:p>
        </w:tc>
        <w:tc>
          <w:tcPr>
            <w:tcW w:type="dxa" w:w="1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1, 4</w:t>
            </w:r>
          </w:p>
        </w:tc>
        <w:tc>
          <w:tcPr>
            <w:tcW w:type="dxa" w:w="256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Faction ratio → happiness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Rockström (2009)</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5 boundary monitors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1, 5</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Threshold triggers</w:t>
            </w:r>
          </w:p>
        </w:tc>
      </w:tr>
      <w:tr>
        <w:tc>
          <w:tcPr>
            <w:tcW w:type="dxa" w:w="22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Raworth (2017)</w:t>
            </w:r>
          </w:p>
        </w:tc>
        <w:tc>
          <w:tcPr>
            <w:tcW w:type="dxa" w:w="2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Ceiling + floor tracking</w:t>
            </w:r>
          </w:p>
        </w:tc>
        <w:tc>
          <w:tcPr>
            <w:tcW w:type="dxa" w:w="1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1, 3, 5</w:t>
            </w:r>
          </w:p>
        </w:tc>
        <w:tc>
          <w:tcPr>
            <w:tcW w:type="dxa" w:w="256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Multi-dimensional target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Liefferink (2009)</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Comparison dashboard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3, 5</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6-metric composite gap</w:t>
            </w:r>
          </w:p>
        </w:tc>
      </w:tr>
      <w:tr>
        <w:tc>
          <w:tcPr>
            <w:tcW w:type="dxa" w:w="22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Ostrom (1990)</w:t>
            </w:r>
          </w:p>
        </w:tc>
        <w:tc>
          <w:tcPr>
            <w:tcW w:type="dxa" w:w="2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4 cooperation channels</w:t>
            </w:r>
          </w:p>
        </w:tc>
        <w:tc>
          <w:tcPr>
            <w:tcW w:type="dxa" w:w="1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1, 2, 4</w:t>
            </w:r>
          </w:p>
        </w:tc>
        <w:tc>
          <w:tcPr>
            <w:tcW w:type="dxa" w:w="256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Polycentric redundancy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Aklin (2020)</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Distributive axes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1, 4, 5</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Winners vs. losers</w:t>
            </w:r>
          </w:p>
        </w:tc>
      </w:tr>
      <w:tr>
        <w:tc>
          <w:tcPr>
            <w:tcW w:type="dxa" w:w="22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Schreurs (2002)</w:t>
            </w:r>
          </w:p>
        </w:tc>
        <w:tc>
          <w:tcPr>
            <w:tcW w:type="dxa" w:w="2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8 asymmetric countries</w:t>
            </w:r>
          </w:p>
        </w:tc>
        <w:tc>
          <w:tcPr>
            <w:tcW w:type="dxa" w:w="180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3, 4, 5</w:t>
            </w:r>
          </w:p>
        </w:tc>
        <w:tc>
          <w:tcPr>
            <w:tcW w:type="dxa" w:w="2560"/>
            <w:tcBorders>
              <w:top w:val="single" w:color="CCCCCC" w:sz="1"/>
              <w:left w:val="single" w:color="CCCCCC" w:sz="1"/>
              <w:bottom w:val="single" w:color="CCCCCC" w:sz="1"/>
              <w:right w:val="single" w:color="CCCCCC" w:sz="1"/>
            </w:tcBorders>
            <w:shd w:fill="F0F7F0" w:val="clear"/>
            <w:tcMar>
              <w:top w:type="dxa" w:w="50"/>
              <w:left w:type="dxa" w:w="80"/>
              <w:bottom w:type="dxa" w:w="50"/>
              <w:right w:type="dxa" w:w="80"/>
            </w:tcMar>
          </w:tcPr>
          <w:p>
            <w:r>
              <w:rPr>
                <w:rFonts w:ascii="Arial" w:cs="Arial" w:eastAsia="Arial" w:hAnsi="Arial"/>
                <w:sz w:val="18"/>
                <w:szCs w:val="18"/>
              </w:rPr>
              <w:t xml:space="preserve">Cross-country comparison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C757D"/>
        <w:sz w:val="18"/>
        <w:szCs w:val="18"/>
      </w:rPr>
      <w:t xml:space="preserve">Climate Diplomacy — Academic Model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433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2026-07-07T20:25:54.726Z</dcterms:created>
  <dcterms:modified xsi:type="dcterms:W3CDTF">2026-07-07T20:25:54.726Z</dcterms:modified>
</cp:coreProperties>
</file>

<file path=docProps/custom.xml><?xml version="1.0" encoding="utf-8"?>
<Properties xmlns="http://schemas.openxmlformats.org/officeDocument/2006/custom-properties" xmlns:vt="http://schemas.openxmlformats.org/officeDocument/2006/docPropsVTypes"/>
</file>