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sz w:val="96"/>
          <w:szCs w:val="96"/>
        </w:rPr>
        <w:t xml:space="preserve">🛡</w:t>
      </w:r>
    </w:p>
    <w:p>
      <w:pPr>
        <w:spacing w:after="0" w:before="200"/>
        <w:jc w:val="center"/>
      </w:pPr>
      <w:r>
        <w:rPr>
          <w:rFonts w:ascii="Calibri" w:cs="Calibri" w:eastAsia="Calibri" w:hAnsi="Calibri"/>
          <w:b/>
          <w:bCs/>
          <w:color w:val="0B1E3F"/>
          <w:sz w:val="64"/>
          <w:szCs w:val="64"/>
        </w:rPr>
        <w:t xml:space="preserve">HONEYWELL SENTINELAI</w:t>
      </w:r>
    </w:p>
    <w:p>
      <w:pPr>
        <w:spacing w:after="0" w:before="240"/>
        <w:jc w:val="center"/>
      </w:pPr>
      <w:r>
        <w:rPr>
          <w:rFonts w:ascii="Calibri" w:cs="Calibri" w:eastAsia="Calibri" w:hAnsi="Calibri"/>
          <w:i/>
          <w:iCs/>
          <w:color w:val="1E56A0"/>
          <w:sz w:val="30"/>
          <w:szCs w:val="30"/>
        </w:rPr>
        <w:t xml:space="preserve">AI-Powered Behavioral Anomaly Detection for Enterprise Cybersecurity</w:t>
      </w:r>
    </w:p>
    <w:p>
      <w:pPr>
        <w:pBdr>
          <w:top w:val="single" w:color="3AA0FF" w:sz="8"/>
        </w:pBdr>
        <w:spacing w:before="800"/>
        <w:jc w:val="center"/>
      </w:pPr>
    </w:p>
    <w:p>
      <w:pPr>
        <w:spacing w:before="1200"/>
        <w:jc w:val="center"/>
      </w:pPr>
      <w:r>
        <w:rPr>
          <w:rFonts w:ascii="Calibri" w:cs="Calibri" w:eastAsia="Calibri" w:hAnsi="Calibri"/>
          <w:b/>
          <w:bCs/>
          <w:color w:val="1A1A1A"/>
          <w:sz w:val="26"/>
          <w:szCs w:val="26"/>
        </w:rPr>
        <w:t xml:space="preserve">Honeywell Hackathon</w:t>
      </w:r>
    </w:p>
    <w:p>
      <w:pPr>
        <w:spacing w:before="480"/>
        <w:jc w:val="center"/>
      </w:pPr>
      <w:r>
        <w:rPr>
          <w:rFonts w:ascii="Calibri" w:cs="Calibri" w:eastAsia="Calibri" w:hAnsi="Calibri"/>
          <w:color w:val="555555"/>
          <w:sz w:val="24"/>
          <w:szCs w:val="24"/>
        </w:rPr>
        <w:t xml:space="preserve">Technical Project Report</w:t>
      </w:r>
    </w:p>
    <w:p>
      <w:pPr>
        <w:spacing w:before="1600"/>
        <w:jc w:val="center"/>
      </w:pPr>
      <w:r>
        <w:rPr>
          <w:rFonts w:ascii="Calibri" w:cs="Calibri" w:eastAsia="Calibri" w:hAnsi="Calibri"/>
          <w:sz w:val="22"/>
          <w:szCs w:val="22"/>
        </w:rPr>
        <w:t xml:space="preserve">Developer: [Add Developer Name]</w:t>
      </w:r>
    </w:p>
    <w:p>
      <w:pPr>
        <w:spacing w:before="160"/>
        <w:jc w:val="center"/>
      </w:pPr>
      <w:r>
        <w:rPr>
          <w:rFonts w:ascii="Calibri" w:cs="Calibri" w:eastAsia="Calibri" w:hAnsi="Calibri"/>
          <w:sz w:val="22"/>
          <w:szCs w:val="22"/>
        </w:rPr>
        <w:t xml:space="preserve">Date: [Add Submission Date]</w:t>
      </w:r>
    </w:p>
    <w:p>
      <w:pPr>
        <w:spacing w:before="160"/>
        <w:jc w:val="center"/>
      </w:pPr>
      <w:r>
        <w:rPr>
          <w:rFonts w:ascii="Calibri" w:cs="Calibri" w:eastAsia="Calibri" w:hAnsi="Calibri"/>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240" w:before="480"/>
      </w:pPr>
      <w:r>
        <w:rPr>
          <w:b/>
          <w:bCs/>
          <w:color w:val="0B1E3F"/>
        </w:rPr>
        <w:t xml:space="preserve">Executive Summary</w:t>
      </w:r>
    </w:p>
    <w:p>
      <w:pPr>
        <w:spacing w:after="200" w:line="300"/>
        <w:jc w:val="both"/>
      </w:pPr>
      <w:r>
        <w:rPr>
          <w:rFonts w:ascii="Calibri" w:cs="Calibri" w:eastAsia="Calibri" w:hAnsi="Calibri"/>
          <w:sz w:val="22"/>
          <w:szCs w:val="22"/>
        </w:rPr>
        <w:t xml:space="preserve">Enterprise authentication logs represent one of the earliest and richest signals of security compromise available to a Security Operations Center (SOC), yet most organizations still monitor them using static, rule-based thresholds that were designed for predictable, office-hours access patterns. Honeywell SentinelAI was developed to address this gap by applying unsupervised machine learning to enterprise login behavior, enabling the detection of subtle, adaptive attack patterns that fixed-threshold rules routinely miss.</w:t>
      </w:r>
    </w:p>
    <w:p>
      <w:pPr>
        <w:pStyle w:val="Heading2"/>
        <w:spacing w:after="160" w:before="320"/>
      </w:pPr>
      <w:r>
        <w:rPr>
          <w:b/>
          <w:bCs/>
          <w:color w:val="1E56A0"/>
        </w:rPr>
        <w:t xml:space="preserve">Problem</w:t>
      </w:r>
    </w:p>
    <w:p>
      <w:pPr>
        <w:spacing w:after="200" w:line="300"/>
        <w:jc w:val="both"/>
      </w:pPr>
      <w:r>
        <w:rPr>
          <w:rFonts w:ascii="Calibri" w:cs="Calibri" w:eastAsia="Calibri" w:hAnsi="Calibri"/>
          <w:sz w:val="22"/>
          <w:szCs w:val="22"/>
        </w:rPr>
        <w:t xml:space="preserve">Modern enterprises face a persistent stream of identity-based attacks, including credential theft, credential stuffing, brute-force login attempts, impossible-travel logins, insider threats, and lateral movement across internal systems. Traditional Security Information and Event Management (SIEM) tooling generally relies on hand-written rules and fixed thresholds, which are easy for attackers to evade, generate high volumes of false positives, and provide little context for triage.</w:t>
      </w:r>
    </w:p>
    <w:p>
      <w:pPr>
        <w:pStyle w:val="Heading2"/>
        <w:spacing w:after="160" w:before="320"/>
      </w:pPr>
      <w:r>
        <w:rPr>
          <w:b/>
          <w:bCs/>
          <w:color w:val="1E56A0"/>
        </w:rPr>
        <w:t xml:space="preserve">Solution</w:t>
      </w:r>
    </w:p>
    <w:p>
      <w:pPr>
        <w:spacing w:after="200" w:line="300"/>
        <w:jc w:val="both"/>
      </w:pPr>
      <w:r>
        <w:rPr>
          <w:rFonts w:ascii="Calibri" w:cs="Calibri" w:eastAsia="Calibri" w:hAnsi="Calibri"/>
          <w:sz w:val="22"/>
          <w:szCs w:val="22"/>
        </w:rPr>
        <w:t xml:space="preserve">SentinelAI builds a behavioral profile for every user, service account, and edge device in a simulated enterprise environment, then trains an Isolation Forest anomaly detection model on engineered behavioral features drawn from that profile. Every login event is assigned an explainable, weighted risk score between 0 and 100, along with a plain-language explanation identifying the specific behavioral signals that contributed to the score. Results are delivered through an interactive Streamlit dashboard designed for SOC analyst workflows.</w:t>
      </w:r>
    </w:p>
    <w:p>
      <w:pPr>
        <w:pStyle w:val="Heading2"/>
        <w:spacing w:after="160" w:before="320"/>
      </w:pPr>
      <w:r>
        <w:rPr>
          <w:b/>
          <w:bCs/>
          <w:color w:val="1E56A0"/>
        </w:rPr>
        <w:t xml:space="preserve">Technology</w:t>
      </w:r>
    </w:p>
    <w:p>
      <w:pPr>
        <w:spacing w:after="200" w:line="300"/>
        <w:jc w:val="both"/>
      </w:pPr>
      <w:r>
        <w:rPr>
          <w:rFonts w:ascii="Calibri" w:cs="Calibri" w:eastAsia="Calibri" w:hAnsi="Calibri"/>
          <w:sz w:val="22"/>
          <w:szCs w:val="22"/>
        </w:rPr>
        <w:t xml:space="preserve">The system is implemented entirely in Python, using pandas and NumPy for data processing, Faker for realistic synthetic data generation, scikit-learn for the Isolation Forest model and preprocessing utilities, Plotly for interactive visualization, and Streamlit for the analyst-facing dashboard. Trained artifacts are persisted with joblib, allowing the dashboard to operate purely as a read-only visualization layer without ever retraining the model at runtime.</w:t>
      </w:r>
    </w:p>
    <w:p>
      <w:pPr>
        <w:pStyle w:val="Heading2"/>
        <w:spacing w:after="160" w:before="320"/>
      </w:pPr>
      <w:r>
        <w:rPr>
          <w:b/>
          <w:bCs/>
          <w:color w:val="1E56A0"/>
        </w:rPr>
        <w:t xml:space="preserve">Results</w:t>
      </w:r>
    </w:p>
    <w:p>
      <w:pPr>
        <w:spacing w:after="200" w:line="300"/>
        <w:jc w:val="both"/>
      </w:pPr>
      <w:r>
        <w:rPr>
          <w:rFonts w:ascii="Calibri" w:cs="Calibri" w:eastAsia="Calibri" w:hAnsi="Calibri"/>
          <w:sz w:val="22"/>
          <w:szCs w:val="22"/>
        </w:rPr>
        <w:t xml:space="preserve">On a synthetic dataset of 10,000 login events (9,700 normal and 300 attack events spanning seven distinct attack patterns), the trained Isolation Forest achieved approximately 98% overall accuracy, with precision, recall, and F1 score of approximately 0.67 on the anomaly class — a strong result for a fully unsupervised model operating at a fixed 3% contamination rate without access to labeled attack data during training.</w:t>
      </w:r>
    </w:p>
    <w:p>
      <w:pPr>
        <w:pStyle w:val="Heading2"/>
        <w:spacing w:after="160" w:before="320"/>
      </w:pPr>
      <w:r>
        <w:rPr>
          <w:b/>
          <w:bCs/>
          <w:color w:val="1E56A0"/>
        </w:rPr>
        <w:t xml:space="preserve">Benefits</w:t>
      </w:r>
    </w:p>
    <w:p>
      <w:pPr>
        <w:pStyle w:val="ListParagraph"/>
        <w:numPr>
          <w:ilvl w:val="0"/>
          <w:numId w:val="1"/>
        </w:numPr>
        <w:spacing w:after="100"/>
      </w:pPr>
      <w:r>
        <w:rPr>
          <w:rFonts w:ascii="Calibri" w:cs="Calibri" w:eastAsia="Calibri" w:hAnsi="Calibri"/>
          <w:sz w:val="22"/>
          <w:szCs w:val="22"/>
        </w:rPr>
        <w:t xml:space="preserve">Continuous, per-entity behavioral baselining instead of one-size-fits-all rules.</w:t>
      </w:r>
    </w:p>
    <w:p>
      <w:pPr>
        <w:pStyle w:val="ListParagraph"/>
        <w:numPr>
          <w:ilvl w:val="0"/>
          <w:numId w:val="1"/>
        </w:numPr>
        <w:spacing w:after="100"/>
      </w:pPr>
      <w:r>
        <w:rPr>
          <w:rFonts w:ascii="Calibri" w:cs="Calibri" w:eastAsia="Calibri" w:hAnsi="Calibri"/>
          <w:sz w:val="22"/>
          <w:szCs w:val="22"/>
        </w:rPr>
        <w:t xml:space="preserve">Explainable risk scores that accelerate analyst triage and reduce alert fatigue.</w:t>
      </w:r>
    </w:p>
    <w:p>
      <w:pPr>
        <w:pStyle w:val="ListParagraph"/>
        <w:numPr>
          <w:ilvl w:val="0"/>
          <w:numId w:val="1"/>
        </w:numPr>
        <w:spacing w:after="100"/>
      </w:pPr>
      <w:r>
        <w:rPr>
          <w:rFonts w:ascii="Calibri" w:cs="Calibri" w:eastAsia="Calibri" w:hAnsi="Calibri"/>
          <w:sz w:val="22"/>
          <w:szCs w:val="22"/>
        </w:rPr>
        <w:t xml:space="preserve">A complete, reproducible pipeline from synthetic data generation through dashboard visualization.</w:t>
      </w:r>
    </w:p>
    <w:p>
      <w:pPr>
        <w:pStyle w:val="ListParagraph"/>
        <w:numPr>
          <w:ilvl w:val="0"/>
          <w:numId w:val="1"/>
        </w:numPr>
        <w:spacing w:after="100"/>
      </w:pPr>
      <w:r>
        <w:rPr>
          <w:rFonts w:ascii="Calibri" w:cs="Calibri" w:eastAsia="Calibri" w:hAnsi="Calibri"/>
          <w:sz w:val="22"/>
          <w:szCs w:val="22"/>
        </w:rPr>
        <w:t xml:space="preserve">A modular architecture that separates data generation, model training, shared utilities, and visualization.</w:t>
      </w:r>
    </w:p>
    <w:p>
      <w:pPr>
        <w:pStyle w:val="ListParagraph"/>
        <w:numPr>
          <w:ilvl w:val="0"/>
          <w:numId w:val="1"/>
        </w:numPr>
        <w:spacing w:after="100"/>
      </w:pPr>
      <w:r>
        <w:rPr>
          <w:rFonts w:ascii="Calibri" w:cs="Calibri" w:eastAsia="Calibri" w:hAnsi="Calibri"/>
          <w:sz w:val="22"/>
          <w:szCs w:val="22"/>
        </w:rPr>
        <w:t xml:space="preserve">A foundation that can be extended toward real-time streaming, deep learning, and SIEM integration.</w:t>
      </w:r>
    </w:p>
    <w:p>
      <w:r>
        <w:br w:type="page"/>
      </w:r>
    </w:p>
    <w:p>
      <w:pPr>
        <w:pStyle w:val="Heading1"/>
        <w:spacing w:after="240" w:before="480"/>
      </w:pPr>
      <w:r>
        <w:rPr>
          <w:b/>
          <w:bCs/>
          <w:color w:val="0B1E3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0B1E3F"/>
        </w:rPr>
        <w:t xml:space="preserve">1. Introduction</w:t>
      </w:r>
    </w:p>
    <w:p>
      <w:pPr>
        <w:pStyle w:val="Heading2"/>
        <w:spacing w:after="160" w:before="320"/>
      </w:pPr>
      <w:r>
        <w:rPr>
          <w:b/>
          <w:bCs/>
          <w:color w:val="1E56A0"/>
        </w:rPr>
        <w:t xml:space="preserve">1.1 Background</w:t>
      </w:r>
    </w:p>
    <w:p>
      <w:pPr>
        <w:spacing w:after="200" w:line="300"/>
        <w:jc w:val="both"/>
      </w:pPr>
      <w:r>
        <w:rPr>
          <w:rFonts w:ascii="Calibri" w:cs="Calibri" w:eastAsia="Calibri" w:hAnsi="Calibri"/>
          <w:sz w:val="22"/>
          <w:szCs w:val="22"/>
        </w:rPr>
        <w:t xml:space="preserve">Enterprise authentication is the front door to every digital asset an organization owns. Employees, contractors, service accounts, and increasingly, edge devices and industrial control systems, all authenticate into email, VPN, financial systems, cloud platforms, and operational technology such as SCADA and PLC infrastructure. Each of these authentication events carries behavioral information — the time of day, the network location, the device in use, and the resource being accessed — that, taken together, describes what "normal" looks like for that specific identity.</w:t>
      </w:r>
    </w:p>
    <w:p>
      <w:pPr>
        <w:spacing w:after="200" w:line="300"/>
        <w:jc w:val="both"/>
      </w:pPr>
      <w:r>
        <w:rPr>
          <w:rFonts w:ascii="Calibri" w:cs="Calibri" w:eastAsia="Calibri" w:hAnsi="Calibri"/>
          <w:sz w:val="22"/>
          <w:szCs w:val="22"/>
        </w:rPr>
        <w:t xml:space="preserve">Historically, security teams have monitored this traffic using static rules: flag more than a fixed number of failed logins, flag access outside business hours, flag logins from unrecognized countries. These rules are simple to reason about, but they apply uniformly across a workforce whose behavior is anything but uniform. A rule tuned to catch a finance analyst's after-hours anomaly will either miss the slow, patient behavior of a determined attacker or will generate constant noise against employees, such as on-call engineers or overseas operations staff, whose legitimate behavior does not match the rule's assumptions.</w:t>
      </w:r>
    </w:p>
    <w:p>
      <w:pPr>
        <w:pStyle w:val="Heading2"/>
        <w:spacing w:after="160" w:before="320"/>
      </w:pPr>
      <w:r>
        <w:rPr>
          <w:b/>
          <w:bCs/>
          <w:color w:val="1E56A0"/>
        </w:rPr>
        <w:t xml:space="preserve">1.2 Enterprise Authentication as a Security Signal</w:t>
      </w:r>
    </w:p>
    <w:p>
      <w:pPr>
        <w:spacing w:after="200" w:line="300"/>
        <w:jc w:val="both"/>
      </w:pPr>
      <w:r>
        <w:rPr>
          <w:rFonts w:ascii="Calibri" w:cs="Calibri" w:eastAsia="Calibri" w:hAnsi="Calibri"/>
          <w:sz w:val="22"/>
          <w:szCs w:val="22"/>
        </w:rPr>
        <w:t xml:space="preserve">Authentication logs are attractive as a detection surface because they are already collected by virtually every enterprise identity provider, they are structured and machine-readable, and they precede most later stages of an attack. If unauthorized access can be detected at the authentication layer, the blast radius of a compromise is contained before an attacker reaches sensitive resources such as production databases, payroll systems, or industrial control systems.</w:t>
      </w:r>
    </w:p>
    <w:p>
      <w:pPr>
        <w:pStyle w:val="Heading2"/>
        <w:spacing w:after="160" w:before="320"/>
      </w:pPr>
      <w:r>
        <w:rPr>
          <w:b/>
          <w:bCs/>
          <w:color w:val="1E56A0"/>
        </w:rPr>
        <w:t xml:space="preserve">1.3 Cybersecurity Challenges</w:t>
      </w:r>
    </w:p>
    <w:p>
      <w:pPr>
        <w:spacing w:after="200" w:line="300"/>
        <w:jc w:val="both"/>
      </w:pPr>
      <w:r>
        <w:rPr>
          <w:rFonts w:ascii="Calibri" w:cs="Calibri" w:eastAsia="Calibri" w:hAnsi="Calibri"/>
          <w:sz w:val="22"/>
          <w:szCs w:val="22"/>
        </w:rPr>
        <w:t xml:space="preserve">Three structural challenges make authentication monitoring difficult in practice. First, enterprise populations are heterogeneous: human users, automated service accounts, and edge devices each have fundamentally different behavioral baselines, and a detection system that does not distinguish between them will either over-alert on legitimate automation or under-alert on a compromised device. Second, attacker behavior is adaptive: techniques such as credential stuffing and low-and-slow exfiltration are explicitly designed to stay under the radar of fixed thresholds. Third, security teams are resource-constrained: every alert consumes analyst time, so a detection system that cannot explain why an event was flagged imposes a real operational cost even when its underlying detection is accurate.</w:t>
      </w:r>
    </w:p>
    <w:p>
      <w:pPr>
        <w:pStyle w:val="Heading2"/>
        <w:spacing w:after="160" w:before="320"/>
      </w:pPr>
      <w:r>
        <w:rPr>
          <w:b/>
          <w:bCs/>
          <w:color w:val="1E56A0"/>
        </w:rPr>
        <w:t xml:space="preserve">1.4 The Need for Anomaly Detection</w:t>
      </w:r>
    </w:p>
    <w:p>
      <w:pPr>
        <w:spacing w:after="200" w:line="300"/>
        <w:jc w:val="both"/>
      </w:pPr>
      <w:r>
        <w:rPr>
          <w:rFonts w:ascii="Calibri" w:cs="Calibri" w:eastAsia="Calibri" w:hAnsi="Calibri"/>
          <w:sz w:val="22"/>
          <w:szCs w:val="22"/>
        </w:rPr>
        <w:t xml:space="preserve">Anomaly detection reframes the problem from "does this event violate a known rule" to "how unusual is this event given everything normally observed for this entity." This reframing is what allows a single model to generalize across attack types it was never explicitly programmed to detect, and it is the central design principle behind Honeywell SentinelAI. The remainder of this report describes the system's architecture, implementation, and measured results in detail.</w:t>
      </w:r>
    </w:p>
    <w:p>
      <w:r>
        <w:br w:type="page"/>
      </w:r>
    </w:p>
    <w:p>
      <w:pPr>
        <w:pStyle w:val="Heading1"/>
        <w:spacing w:after="240" w:before="480"/>
      </w:pPr>
      <w:r>
        <w:rPr>
          <w:b/>
          <w:bCs/>
          <w:color w:val="0B1E3F"/>
        </w:rPr>
        <w:t xml:space="preserve">2. Problem Statement</w:t>
      </w:r>
    </w:p>
    <w:p>
      <w:pPr>
        <w:spacing w:after="200" w:line="300"/>
        <w:jc w:val="both"/>
      </w:pPr>
      <w:r>
        <w:rPr>
          <w:rFonts w:ascii="Calibri" w:cs="Calibri" w:eastAsia="Calibri" w:hAnsi="Calibri"/>
          <w:sz w:val="22"/>
          <w:szCs w:val="22"/>
        </w:rPr>
        <w:t xml:space="preserve">Enterprise identity systems are targeted by a well-established set of attack patterns. This section describes each pattern, followed by an examination of why traditional SIEM-based detection struggles to address them collectively.</w:t>
      </w:r>
    </w:p>
    <w:p>
      <w:pPr>
        <w:pStyle w:val="Heading2"/>
        <w:spacing w:after="160" w:before="320"/>
      </w:pPr>
      <w:r>
        <w:rPr>
          <w:b/>
          <w:bCs/>
          <w:color w:val="1E56A0"/>
        </w:rPr>
        <w:t xml:space="preserve">2.1 Credential Theft</w:t>
      </w:r>
    </w:p>
    <w:p>
      <w:pPr>
        <w:spacing w:after="200" w:line="300"/>
        <w:jc w:val="both"/>
      </w:pPr>
      <w:r>
        <w:rPr>
          <w:rFonts w:ascii="Calibri" w:cs="Calibri" w:eastAsia="Calibri" w:hAnsi="Calibri"/>
          <w:sz w:val="22"/>
          <w:szCs w:val="22"/>
        </w:rPr>
        <w:t xml:space="preserve">Credential theft occurs when an attacker obtains a legitimate user's login credentials through phishing, malware, or exposure in a third-party data breach, and subsequently authenticates as that user. Because the credentials themselves are valid, credential theft is largely invisible to systems that only check whether a login succeeded or failed; the compromise is only visible in secondary signals such as an unfamiliar device, an unusual location, or access to resources the user does not normally touch.</w:t>
      </w:r>
    </w:p>
    <w:p>
      <w:pPr>
        <w:pStyle w:val="Heading2"/>
        <w:spacing w:after="160" w:before="320"/>
      </w:pPr>
      <w:r>
        <w:rPr>
          <w:b/>
          <w:bCs/>
          <w:color w:val="1E56A0"/>
        </w:rPr>
        <w:t xml:space="preserve">2.2 Credential Stuffing</w:t>
      </w:r>
    </w:p>
    <w:p>
      <w:pPr>
        <w:spacing w:after="200" w:line="300"/>
        <w:jc w:val="both"/>
      </w:pPr>
      <w:r>
        <w:rPr>
          <w:rFonts w:ascii="Calibri" w:cs="Calibri" w:eastAsia="Calibri" w:hAnsi="Calibri"/>
          <w:sz w:val="22"/>
          <w:szCs w:val="22"/>
        </w:rPr>
        <w:t xml:space="preserve">Credential stuffing involves testing large sets of previously breached username-and-password pairs against an organization's login endpoints, on the assumption that some employees reuse passwords across services. This pattern typically produces a distinctive signature: a single source IP address attempting authentication against many different usernames in rapid succession, with a low overall success rate.</w:t>
      </w:r>
    </w:p>
    <w:p>
      <w:pPr>
        <w:pStyle w:val="Heading2"/>
        <w:spacing w:after="160" w:before="320"/>
      </w:pPr>
      <w:r>
        <w:rPr>
          <w:b/>
          <w:bCs/>
          <w:color w:val="1E56A0"/>
        </w:rPr>
        <w:t xml:space="preserve">2.3 Brute Force</w:t>
      </w:r>
    </w:p>
    <w:p>
      <w:pPr>
        <w:spacing w:after="200" w:line="300"/>
        <w:jc w:val="both"/>
      </w:pPr>
      <w:r>
        <w:rPr>
          <w:rFonts w:ascii="Calibri" w:cs="Calibri" w:eastAsia="Calibri" w:hAnsi="Calibri"/>
          <w:sz w:val="22"/>
          <w:szCs w:val="22"/>
        </w:rPr>
        <w:t xml:space="preserve">Brute-force attacks repeatedly attempt to authenticate against a single account, often from a single source, until a correct credential combination is found or the attempt is abandoned. The defining characteristic is a high volume of failed attempts against one account within a short time window, frequently followed by a successful login once the correct credential is found.</w:t>
      </w:r>
    </w:p>
    <w:p>
      <w:pPr>
        <w:pStyle w:val="Heading2"/>
        <w:spacing w:after="160" w:before="320"/>
      </w:pPr>
      <w:r>
        <w:rPr>
          <w:b/>
          <w:bCs/>
          <w:color w:val="1E56A0"/>
        </w:rPr>
        <w:t xml:space="preserve">2.4 Impossible Travel</w:t>
      </w:r>
    </w:p>
    <w:p>
      <w:pPr>
        <w:spacing w:after="200" w:line="300"/>
        <w:jc w:val="both"/>
      </w:pPr>
      <w:r>
        <w:rPr>
          <w:rFonts w:ascii="Calibri" w:cs="Calibri" w:eastAsia="Calibri" w:hAnsi="Calibri"/>
          <w:sz w:val="22"/>
          <w:szCs w:val="22"/>
        </w:rPr>
        <w:t xml:space="preserve">Impossible travel refers to the same account authenticating from two geographically distant locations within a time interval too short for legitimate physical travel between them. This pattern is a strong indicator that credentials are being used simultaneously by two different parties — typically the legitimate user and an attacker.</w:t>
      </w:r>
    </w:p>
    <w:p>
      <w:pPr>
        <w:pStyle w:val="Heading2"/>
        <w:spacing w:after="160" w:before="320"/>
      </w:pPr>
      <w:r>
        <w:rPr>
          <w:b/>
          <w:bCs/>
          <w:color w:val="1E56A0"/>
        </w:rPr>
        <w:t xml:space="preserve">2.5 Insider Threat</w:t>
      </w:r>
    </w:p>
    <w:p>
      <w:pPr>
        <w:spacing w:after="200" w:line="300"/>
        <w:jc w:val="both"/>
      </w:pPr>
      <w:r>
        <w:rPr>
          <w:rFonts w:ascii="Calibri" w:cs="Calibri" w:eastAsia="Calibri" w:hAnsi="Calibri"/>
          <w:sz w:val="22"/>
          <w:szCs w:val="22"/>
        </w:rPr>
        <w:t xml:space="preserve">An insider threat arises when a legitimate, authorized user misuses their access, whether through malicious intent or a compromised account operating under their identity. Unlike external attacks, insider threats often unfold gradually: an account slowly begins accessing resources or performing actions outside its established pattern, without any single event appearing overtly suspicious in isolation.</w:t>
      </w:r>
    </w:p>
    <w:p>
      <w:pPr>
        <w:pStyle w:val="Heading2"/>
        <w:spacing w:after="160" w:before="320"/>
      </w:pPr>
      <w:r>
        <w:rPr>
          <w:b/>
          <w:bCs/>
          <w:color w:val="1E56A0"/>
        </w:rPr>
        <w:t xml:space="preserve">2.6 Lateral Movement</w:t>
      </w:r>
    </w:p>
    <w:p>
      <w:pPr>
        <w:spacing w:after="200" w:line="300"/>
        <w:jc w:val="both"/>
      </w:pPr>
      <w:r>
        <w:rPr>
          <w:rFonts w:ascii="Calibri" w:cs="Calibri" w:eastAsia="Calibri" w:hAnsi="Calibri"/>
          <w:sz w:val="22"/>
          <w:szCs w:val="22"/>
        </w:rPr>
        <w:t xml:space="preserve">Lateral movement occurs after an initial compromise, when an attacker uses a foothold account to access additional systems and resources it has not legitimately used before, working toward higher-value targets such as production servers or sensitive databases. Detecting lateral movement requires a historical baseline of what each account normally accesses, so that a first-time access to a new resource can be recognized as a deviation.</w:t>
      </w:r>
    </w:p>
    <w:p>
      <w:pPr>
        <w:pStyle w:val="Heading2"/>
        <w:spacing w:after="160" w:before="320"/>
      </w:pPr>
      <w:r>
        <w:rPr>
          <w:b/>
          <w:bCs/>
          <w:color w:val="1E56A0"/>
        </w:rPr>
        <w:t xml:space="preserve">2.7 Limitations of Traditional SIEM Approaches</w:t>
      </w:r>
    </w:p>
    <w:p>
      <w:pPr>
        <w:spacing w:after="200" w:line="300"/>
        <w:jc w:val="both"/>
      </w:pPr>
      <w:r>
        <w:rPr>
          <w:rFonts w:ascii="Calibri" w:cs="Calibri" w:eastAsia="Calibri" w:hAnsi="Calibri"/>
          <w:sz w:val="22"/>
          <w:szCs w:val="22"/>
        </w:rPr>
        <w:t xml:space="preserve">Conventional SIEM detection is built primarily on correlation rules and static thresholds. These approaches share several structural weaknesses when applied to the attack patterns above. Rules are reactive: a new rule must be authored, tested, and deployed for every new attack technique, which lags behind attacker innovation. Rules are context-blind: the same threshold is applied to every account regardless of that account's actual behavioral baseline, producing both missed detections and false positives. Rules are typically binary: an event either triggers an alert or it does not, with no continuous measure of severity to support prioritization. Finally, rule-triggered alerts rarely explain themselves in behavioral terms, leaving analysts to manually reconstruct context during triage. Honeywell SentinelAI is designed specifically to address each of these four weaknesses.</w:t>
      </w:r>
    </w:p>
    <w:p>
      <w:r>
        <w:br w:type="page"/>
      </w:r>
    </w:p>
    <w:p>
      <w:pPr>
        <w:pStyle w:val="Heading1"/>
        <w:spacing w:after="240" w:before="480"/>
      </w:pPr>
      <w:r>
        <w:rPr>
          <w:b/>
          <w:bCs/>
          <w:color w:val="0B1E3F"/>
        </w:rPr>
        <w:t xml:space="preserve">3. Objectives</w:t>
      </w:r>
    </w:p>
    <w:p>
      <w:pPr>
        <w:spacing w:after="200" w:line="300"/>
        <w:jc w:val="both"/>
      </w:pPr>
      <w:r>
        <w:rPr>
          <w:rFonts w:ascii="Calibri" w:cs="Calibri" w:eastAsia="Calibri" w:hAnsi="Calibri"/>
          <w:sz w:val="22"/>
          <w:szCs w:val="22"/>
        </w:rPr>
        <w:t xml:space="preserve">The project was scoped around the following concrete objectives:</w:t>
      </w:r>
    </w:p>
    <w:p>
      <w:pPr>
        <w:pStyle w:val="ListParagraph"/>
        <w:numPr>
          <w:ilvl w:val="0"/>
          <w:numId w:val="1"/>
        </w:numPr>
        <w:spacing w:after="100"/>
      </w:pPr>
      <w:r>
        <w:rPr>
          <w:rFonts w:ascii="Calibri" w:cs="Calibri" w:eastAsia="Calibri" w:hAnsi="Calibri"/>
          <w:sz w:val="22"/>
          <w:szCs w:val="22"/>
        </w:rPr>
        <w:t xml:space="preserve">Design and implement a realistic synthetic enterprise authentication dataset covering users, service accounts, and edge devices.</w:t>
      </w:r>
    </w:p>
    <w:p>
      <w:pPr>
        <w:pStyle w:val="ListParagraph"/>
        <w:numPr>
          <w:ilvl w:val="0"/>
          <w:numId w:val="1"/>
        </w:numPr>
        <w:spacing w:after="100"/>
      </w:pPr>
      <w:r>
        <w:rPr>
          <w:rFonts w:ascii="Calibri" w:cs="Calibri" w:eastAsia="Calibri" w:hAnsi="Calibri"/>
          <w:sz w:val="22"/>
          <w:szCs w:val="22"/>
        </w:rPr>
        <w:t xml:space="preserve">Model per-entity behavioral baselines, including login hours, geography, device, browser, operating system, authentication method, and typical resource access.</w:t>
      </w:r>
    </w:p>
    <w:p>
      <w:pPr>
        <w:pStyle w:val="ListParagraph"/>
        <w:numPr>
          <w:ilvl w:val="0"/>
          <w:numId w:val="1"/>
        </w:numPr>
        <w:spacing w:after="100"/>
      </w:pPr>
      <w:r>
        <w:rPr>
          <w:rFonts w:ascii="Calibri" w:cs="Calibri" w:eastAsia="Calibri" w:hAnsi="Calibri"/>
          <w:sz w:val="22"/>
          <w:szCs w:val="22"/>
        </w:rPr>
        <w:t xml:space="preserve">Inject a representative set of seven authentication attack patterns into the dataset at a realistic, minority-class ratio.</w:t>
      </w:r>
    </w:p>
    <w:p>
      <w:pPr>
        <w:pStyle w:val="ListParagraph"/>
        <w:numPr>
          <w:ilvl w:val="0"/>
          <w:numId w:val="1"/>
        </w:numPr>
        <w:spacing w:after="100"/>
      </w:pPr>
      <w:r>
        <w:rPr>
          <w:rFonts w:ascii="Calibri" w:cs="Calibri" w:eastAsia="Calibri" w:hAnsi="Calibri"/>
          <w:sz w:val="22"/>
          <w:szCs w:val="22"/>
        </w:rPr>
        <w:t xml:space="preserve">Engineer behavioral features that expose the distinguishing characteristics of each attack pattern to a downstream model.</w:t>
      </w:r>
    </w:p>
    <w:p>
      <w:pPr>
        <w:pStyle w:val="ListParagraph"/>
        <w:numPr>
          <w:ilvl w:val="0"/>
          <w:numId w:val="1"/>
        </w:numPr>
        <w:spacing w:after="100"/>
      </w:pPr>
      <w:r>
        <w:rPr>
          <w:rFonts w:ascii="Calibri" w:cs="Calibri" w:eastAsia="Calibri" w:hAnsi="Calibri"/>
          <w:sz w:val="22"/>
          <w:szCs w:val="22"/>
        </w:rPr>
        <w:t xml:space="preserve">Train an unsupervised anomaly detection model capable of flagging anomalous login events without relying on labeled attack data.</w:t>
      </w:r>
    </w:p>
    <w:p>
      <w:pPr>
        <w:pStyle w:val="ListParagraph"/>
        <w:numPr>
          <w:ilvl w:val="0"/>
          <w:numId w:val="1"/>
        </w:numPr>
        <w:spacing w:after="100"/>
      </w:pPr>
      <w:r>
        <w:rPr>
          <w:rFonts w:ascii="Calibri" w:cs="Calibri" w:eastAsia="Calibri" w:hAnsi="Calibri"/>
          <w:sz w:val="22"/>
          <w:szCs w:val="22"/>
        </w:rPr>
        <w:t xml:space="preserve">Produce an explainable, weighted risk score and severity level for every login event, together with a human-readable explanation.</w:t>
      </w:r>
    </w:p>
    <w:p>
      <w:pPr>
        <w:pStyle w:val="ListParagraph"/>
        <w:numPr>
          <w:ilvl w:val="0"/>
          <w:numId w:val="1"/>
        </w:numPr>
        <w:spacing w:after="100"/>
      </w:pPr>
      <w:r>
        <w:rPr>
          <w:rFonts w:ascii="Calibri" w:cs="Calibri" w:eastAsia="Calibri" w:hAnsi="Calibri"/>
          <w:sz w:val="22"/>
          <w:szCs w:val="22"/>
        </w:rPr>
        <w:t xml:space="preserve">Evaluate the trained model against ground-truth labels using standard classification metrics.</w:t>
      </w:r>
    </w:p>
    <w:p>
      <w:pPr>
        <w:pStyle w:val="ListParagraph"/>
        <w:numPr>
          <w:ilvl w:val="0"/>
          <w:numId w:val="1"/>
        </w:numPr>
        <w:spacing w:after="100"/>
      </w:pPr>
      <w:r>
        <w:rPr>
          <w:rFonts w:ascii="Calibri" w:cs="Calibri" w:eastAsia="Calibri" w:hAnsi="Calibri"/>
          <w:sz w:val="22"/>
          <w:szCs w:val="22"/>
        </w:rPr>
        <w:t xml:space="preserve">Deliver a production-quality, interactive SOC dashboard for analysts to explore, filter, and triage flagged events.</w:t>
      </w:r>
    </w:p>
    <w:p>
      <w:pPr>
        <w:pStyle w:val="ListParagraph"/>
        <w:numPr>
          <w:ilvl w:val="0"/>
          <w:numId w:val="1"/>
        </w:numPr>
        <w:spacing w:after="100"/>
      </w:pPr>
      <w:r>
        <w:rPr>
          <w:rFonts w:ascii="Calibri" w:cs="Calibri" w:eastAsia="Calibri" w:hAnsi="Calibri"/>
          <w:sz w:val="22"/>
          <w:szCs w:val="22"/>
        </w:rPr>
        <w:t xml:space="preserve">Maintain a clean, modular codebase with shared utilities, type hints, and comprehensive documentation suitable for hackathon submission and future extension.</w:t>
      </w:r>
    </w:p>
    <w:p>
      <w:r>
        <w:br w:type="page"/>
      </w:r>
    </w:p>
    <w:p>
      <w:pPr>
        <w:pStyle w:val="Heading1"/>
        <w:spacing w:after="240" w:before="480"/>
      </w:pPr>
      <w:r>
        <w:rPr>
          <w:b/>
          <w:bCs/>
          <w:color w:val="0B1E3F"/>
        </w:rPr>
        <w:t xml:space="preserve">4. System Overview</w:t>
      </w:r>
    </w:p>
    <w:p>
      <w:pPr>
        <w:spacing w:after="200" w:line="300"/>
        <w:jc w:val="both"/>
      </w:pPr>
      <w:r>
        <w:rPr>
          <w:rFonts w:ascii="Calibri" w:cs="Calibri" w:eastAsia="Calibri" w:hAnsi="Calibri"/>
          <w:sz w:val="22"/>
          <w:szCs w:val="22"/>
        </w:rPr>
        <w:t xml:space="preserve">Honeywell SentinelAI is organized as a linear pipeline with four stages: synthetic data generation, behavioral feature engineering and model training, explainable risk scoring, and dashboard visualization. Each stage is implemented as an independent, runnable Python module, and each stage's output is a durable artifact (a CSV file or a serialized model object) consumed by the next stage. This design allows any stage to be re-run in isolation — for example, regenerating the synthetic dataset without retraining, or relaunching the dashboard against an existing processed dataset without touching the model.</w:t>
      </w:r>
    </w:p>
    <w:p>
      <w:pPr>
        <w:spacing w:after="200" w:line="300"/>
        <w:jc w:val="both"/>
      </w:pPr>
      <w:r>
        <w:rPr>
          <w:rFonts w:ascii="Calibri" w:cs="Calibri" w:eastAsia="Calibri" w:hAnsi="Calibri"/>
          <w:sz w:val="22"/>
          <w:szCs w:val="22"/>
        </w:rPr>
        <w:t xml:space="preserve">At a conceptual level, the complete workflow proceeds as follows: a login event occurs for a user, service account, or edge device; the synthetic data generator produces a realistic version of that event, either as normal behavior or as one of seven injected attack patterns; the training pipeline cleans the data, engineers behavioral features, encodes categorical fields, and trains an Isolation Forest model; the model produces a binary anomaly prediction, which is combined with rule-based behavioral signals into a weighted, explainable risk score; and the dashboard renders the fully processed dataset for a security analyst to explore, filter, and act upon.</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Figure 1 — System Architecture Diagram ]</w:t>
      </w:r>
    </w:p>
    <w:p>
      <w:pPr>
        <w:spacing w:after="320" w:before="80"/>
        <w:jc w:val="center"/>
      </w:pPr>
      <w:r>
        <w:rPr>
          <w:rFonts w:ascii="Calibri" w:cs="Calibri" w:eastAsia="Calibri" w:hAnsi="Calibri"/>
          <w:i/>
          <w:iCs/>
          <w:color w:val="555555"/>
          <w:sz w:val="20"/>
          <w:szCs w:val="20"/>
        </w:rPr>
        <w:t xml:space="preserve">Figure 1: End-to-end SentinelAI workflow, from login event through synthetic generation, feature engineering, model scoring, and dashboard visualization to analyst decision.</w:t>
      </w:r>
    </w:p>
    <w:p>
      <w:pPr>
        <w:spacing w:after="200" w:line="300"/>
        <w:jc w:val="both"/>
      </w:pPr>
      <w:r>
        <w:rPr>
          <w:rFonts w:ascii="Calibri" w:cs="Calibri" w:eastAsia="Calibri" w:hAnsi="Calibri"/>
          <w:sz w:val="22"/>
          <w:szCs w:val="22"/>
        </w:rPr>
        <w:t xml:space="preserve">This architecture deliberately keeps the dashboard read-only with respect to the model: at no point does the dashboard retrain or modify the anomaly detector. This separation mirrors real-world SOC tooling, where analyst-facing interfaces consume model output rather than participate in model training, and it allows the model training pipeline to be scheduled, audited, and version-controlled independently of the analyst experience.</w:t>
      </w:r>
    </w:p>
    <w:p>
      <w:r>
        <w:br w:type="page"/>
      </w:r>
    </w:p>
    <w:p>
      <w:pPr>
        <w:pStyle w:val="Heading1"/>
        <w:spacing w:after="240" w:before="480"/>
      </w:pPr>
      <w:r>
        <w:rPr>
          <w:b/>
          <w:bCs/>
          <w:color w:val="0B1E3F"/>
        </w:rPr>
        <w:t xml:space="preserve">5. Architecture</w:t>
      </w:r>
    </w:p>
    <w:p>
      <w:pPr>
        <w:spacing w:after="200" w:line="300"/>
        <w:jc w:val="both"/>
      </w:pPr>
      <w:r>
        <w:rPr>
          <w:rFonts w:ascii="Calibri" w:cs="Calibri" w:eastAsia="Calibri" w:hAnsi="Calibri"/>
          <w:sz w:val="22"/>
          <w:szCs w:val="22"/>
        </w:rPr>
        <w:t xml:space="preserve">The codebase is organized into four modules, each with a single, well-defined responsibility. This section describes each module and the data contracts between them.</w:t>
      </w:r>
    </w:p>
    <w:p>
      <w:pPr>
        <w:pStyle w:val="Heading2"/>
        <w:spacing w:after="160" w:before="320"/>
      </w:pPr>
      <w:r>
        <w:rPr>
          <w:b/>
          <w:bCs/>
          <w:color w:val="1E56A0"/>
        </w:rPr>
        <w:t xml:space="preserve">5.1 generate_data.py — Synthetic Data Generation</w:t>
      </w:r>
    </w:p>
    <w:p>
      <w:pPr>
        <w:spacing w:after="200" w:line="300"/>
        <w:jc w:val="both"/>
      </w:pPr>
      <w:r>
        <w:rPr>
          <w:rFonts w:ascii="Calibri" w:cs="Calibri" w:eastAsia="Calibri" w:hAnsi="Calibri"/>
          <w:sz w:val="22"/>
          <w:szCs w:val="22"/>
        </w:rPr>
        <w:t xml:space="preserve">This module is responsible for producing the raw dataset that the rest of the pipeline consumes. It defines a UserProfile data class that captures the stable behavioral baseline of a single entity — normal login hours, preferred country, preferred IP subnet, browser, operating system, authentication method, device fingerprint, and typical resources. A ProfileFactory builds a population of these profiles across three entity types. An EnterpriseDataGenerator samples the large majority of the dataset as normal events consistent with each entity's profile, while an AttackInjector generates the seven supported attack patterns as deviations from those same profiles. The module writes its output to data/raw/login_logs.csv.</w:t>
      </w:r>
    </w:p>
    <w:p>
      <w:pPr>
        <w:pStyle w:val="Heading2"/>
        <w:spacing w:after="160" w:before="320"/>
      </w:pPr>
      <w:r>
        <w:rPr>
          <w:b/>
          <w:bCs/>
          <w:color w:val="1E56A0"/>
        </w:rPr>
        <w:t xml:space="preserve">5.2 train_model.py — Feature Engineering, Training, and Scoring</w:t>
      </w:r>
    </w:p>
    <w:p>
      <w:pPr>
        <w:spacing w:after="200" w:line="300"/>
        <w:jc w:val="both"/>
      </w:pPr>
      <w:r>
        <w:rPr>
          <w:rFonts w:ascii="Calibri" w:cs="Calibri" w:eastAsia="Calibri" w:hAnsi="Calibri"/>
          <w:sz w:val="22"/>
          <w:szCs w:val="22"/>
        </w:rPr>
        <w:t xml:space="preserve">This module consumes the raw CSV and executes the complete machine learning pipeline: data cleaning, time-based and behavioral feature engineering, categorical label encoding, feature scaling, Isolation Forest training, prediction, explainable risk scoring, explanation generation, and evaluation against ground-truth labels. It persists four artifacts: the processed dataset at data/processed/processed_logs.csv, the trained model at models/anomaly_model.pkl, the fitted scaler at models/scaler.pkl, and the fitted label encoders at models/label_encoders.pkl.</w:t>
      </w:r>
    </w:p>
    <w:p>
      <w:pPr>
        <w:pStyle w:val="Heading2"/>
        <w:spacing w:after="160" w:before="320"/>
      </w:pPr>
      <w:r>
        <w:rPr>
          <w:b/>
          <w:bCs/>
          <w:color w:val="1E56A0"/>
        </w:rPr>
        <w:t xml:space="preserve">5.3 utils.py — Shared Utilities</w:t>
      </w:r>
    </w:p>
    <w:p>
      <w:pPr>
        <w:spacing w:after="200" w:line="300"/>
        <w:jc w:val="both"/>
      </w:pPr>
      <w:r>
        <w:rPr>
          <w:rFonts w:ascii="Calibri" w:cs="Calibri" w:eastAsia="Calibri" w:hAnsi="Calibri"/>
          <w:sz w:val="22"/>
          <w:szCs w:val="22"/>
        </w:rPr>
        <w:t xml:space="preserve">This module contains no business logic specific to any single stage of the pipeline. Instead, it provides generic, reusable building blocks used across the other three modules: logger configuration, directory creation, model and CSV I/O with validation and meaningful exceptions, risk-level bucketing, timestamp formatting, dataframe validation, dataset summary statistics, a shared Plotly theme, and number and duration formatting. Centralizing these utilities avoids duplicated logic and keeps each of the other three modules focused on its own responsibility.</w:t>
      </w:r>
    </w:p>
    <w:p>
      <w:pPr>
        <w:pStyle w:val="Heading2"/>
        <w:spacing w:after="160" w:before="320"/>
      </w:pPr>
      <w:r>
        <w:rPr>
          <w:b/>
          <w:bCs/>
          <w:color w:val="1E56A0"/>
        </w:rPr>
        <w:t xml:space="preserve">5.4 dashboard.py — Analyst Visualization</w:t>
      </w:r>
    </w:p>
    <w:p>
      <w:pPr>
        <w:spacing w:after="200" w:line="300"/>
        <w:jc w:val="both"/>
      </w:pPr>
      <w:r>
        <w:rPr>
          <w:rFonts w:ascii="Calibri" w:cs="Calibri" w:eastAsia="Calibri" w:hAnsi="Calibri"/>
          <w:sz w:val="22"/>
          <w:szCs w:val="22"/>
        </w:rPr>
        <w:t xml:space="preserve">This module implements a Streamlit application that loads the processed dataset and the fitted label encoders, decodes label-encoded categorical columns back to human-readable values, applies interactive sidebar filters, and renders key performance indicators, charts, a threat explorer table, and a suspicious-event detail view. The dashboard never imports or invokes the model-training logic; it treats the processed CSV and saved artifacts as its complete, read-only input.</w:t>
      </w:r>
    </w:p>
    <w:p>
      <w:pPr>
        <w:pStyle w:val="Heading2"/>
        <w:spacing w:after="160" w:before="320"/>
      </w:pPr>
      <w:r>
        <w:rPr>
          <w:b/>
          <w:bCs/>
          <w:color w:val="1E56A0"/>
        </w:rPr>
        <w:t xml:space="preserve">5.5 Module Interactions</w:t>
      </w:r>
    </w:p>
    <w:p>
      <w:pPr>
        <w:spacing w:after="200" w:line="300"/>
        <w:jc w:val="both"/>
      </w:pPr>
      <w:r>
        <w:rPr>
          <w:rFonts w:ascii="Calibri" w:cs="Calibri" w:eastAsia="Calibri" w:hAnsi="Calibri"/>
          <w:sz w:val="22"/>
          <w:szCs w:val="22"/>
        </w:rPr>
        <w:t xml:space="preserve">The four modules interact strictly through file-based artifacts rather than direct function calls, which keeps them independently runnable and testable. generate_data.py has no dependency on any other module. train_model.py depends only on the CSV produced by generate_data.py. dashboard.py depends only on the CSV and pickle artifacts produced by train_model.py. utils.py is a dependency of all three, but depends on none of them. This forms a strict, acyclic dependency graph that avoids hidden coupling between stages.</w:t>
      </w:r>
    </w:p>
    <w:p>
      <w:r>
        <w:br w:type="page"/>
      </w:r>
    </w:p>
    <w:p>
      <w:pPr>
        <w:pStyle w:val="Heading1"/>
        <w:spacing w:after="240" w:before="480"/>
      </w:pPr>
      <w:r>
        <w:rPr>
          <w:b/>
          <w:bCs/>
          <w:color w:val="0B1E3F"/>
        </w:rPr>
        <w:t xml:space="preserve">6. Dataset Generation</w:t>
      </w:r>
    </w:p>
    <w:p>
      <w:pPr>
        <w:pStyle w:val="Heading2"/>
        <w:spacing w:after="160" w:before="320"/>
      </w:pPr>
      <w:r>
        <w:rPr>
          <w:b/>
          <w:bCs/>
          <w:color w:val="1E56A0"/>
        </w:rPr>
        <w:t xml:space="preserve">6.1 Synthetic Data Generation Approach</w:t>
      </w:r>
    </w:p>
    <w:p>
      <w:pPr>
        <w:spacing w:after="200" w:line="300"/>
        <w:jc w:val="both"/>
      </w:pPr>
      <w:r>
        <w:rPr>
          <w:rFonts w:ascii="Calibri" w:cs="Calibri" w:eastAsia="Calibri" w:hAnsi="Calibri"/>
          <w:sz w:val="22"/>
          <w:szCs w:val="22"/>
        </w:rPr>
        <w:t xml:space="preserve">Because no real enterprise authentication data was available for this hackathon project, a synthetic dataset was generated that reproduces the statistical structure of realistic login traffic. The generator first constructs a population of entities, each with an independent behavioral profile, and then samples individual login events from those profiles, ensuring that normal traffic is internally consistent with each entity's established baseline rather than drawn from a single global distribution.</w:t>
      </w:r>
    </w:p>
    <w:p>
      <w:pPr>
        <w:pStyle w:val="Heading2"/>
        <w:spacing w:after="160" w:before="320"/>
      </w:pPr>
      <w:r>
        <w:rPr>
          <w:b/>
          <w:bCs/>
          <w:color w:val="1E56A0"/>
        </w:rPr>
        <w:t xml:space="preserve">6.2 Behavioral Profiles</w:t>
      </w:r>
    </w:p>
    <w:p>
      <w:pPr>
        <w:spacing w:after="200" w:line="300"/>
        <w:jc w:val="both"/>
      </w:pPr>
      <w:r>
        <w:rPr>
          <w:rFonts w:ascii="Calibri" w:cs="Calibri" w:eastAsia="Calibri" w:hAnsi="Calibri"/>
          <w:sz w:val="22"/>
          <w:szCs w:val="22"/>
        </w:rPr>
        <w:t xml:space="preserve">Every entity in the population — whether a human user, a service account, or an edge device — is assigned a fixed behavioral profile consisting of: normal login hours, a preferred country, a preferred IPv4 subnet, a preferred browser, a preferred operating system, a preferred authentication method, a stable device fingerprint, and a small set of typical resources. Human users are biased toward daytime login hours, while service accounts and edge devices are modeled as active at any hour, reflecting the reality of automated processes and always-on industrial systems.</w:t>
      </w:r>
    </w:p>
    <w:p>
      <w:pPr>
        <w:pStyle w:val="Heading2"/>
        <w:spacing w:after="160" w:before="320"/>
      </w:pPr>
      <w:r>
        <w:rPr>
          <w:b/>
          <w:bCs/>
          <w:color w:val="1E56A0"/>
        </w:rPr>
        <w:t xml:space="preserve">6.3 Normal Users and Attack Simulation</w:t>
      </w:r>
    </w:p>
    <w:p>
      <w:pPr>
        <w:spacing w:after="200" w:line="300"/>
        <w:jc w:val="both"/>
      </w:pPr>
      <w:r>
        <w:rPr>
          <w:rFonts w:ascii="Calibri" w:cs="Calibri" w:eastAsia="Calibri" w:hAnsi="Calibri"/>
          <w:sz w:val="22"/>
          <w:szCs w:val="22"/>
        </w:rPr>
        <w:t xml:space="preserve">Approximately 97% of generated events represent normal behavior, sampled directly from each entity's profile with minor natural variation. The remaining approximately 3% of events are generated by an AttackInjector that implements seven distinct attack patterns: brute force, impossible travel, credential stuffing, device spoofing, lateral movement, low-and-slow exfiltration, and insider drift. Each attack generator deliberately violates one or more aspects of the affected entity's normal profile — for example, impossible travel assigns two logins to different countries within minutes, while device spoofing swaps the device fingerprint and operating system away from the entity's established baseline.</w:t>
      </w:r>
    </w:p>
    <w:p>
      <w:pPr>
        <w:pStyle w:val="Heading2"/>
        <w:spacing w:after="160" w:before="320"/>
      </w:pPr>
      <w:r>
        <w:rPr>
          <w:b/>
          <w:bCs/>
          <w:color w:val="1E56A0"/>
        </w:rPr>
        <w:t xml:space="preserve">6.4 Attack Ratio</w:t>
      </w:r>
    </w:p>
    <w:p>
      <w:pPr>
        <w:spacing w:after="200" w:line="300"/>
        <w:jc w:val="both"/>
      </w:pPr>
      <w:r>
        <w:rPr>
          <w:rFonts w:ascii="Calibri" w:cs="Calibri" w:eastAsia="Calibri" w:hAnsi="Calibri"/>
          <w:sz w:val="22"/>
          <w:szCs w:val="22"/>
        </w:rPr>
        <w:t xml:space="preserve">The dataset targets a 97:3 ratio of normal to attack events, matching the contamination parameter used later in Isolation Forest training. This ratio reflects a deliberately conservative, realistic assumption: in a well-defended enterprise, the overwhelming majority of authentication traffic is legitimate, and anomaly detection must remain effective even when true positives are a small minority of total traffic.</w:t>
      </w:r>
    </w:p>
    <w:p>
      <w:pPr>
        <w:pStyle w:val="Heading2"/>
        <w:spacing w:after="160" w:before="320"/>
      </w:pPr>
      <w:r>
        <w:rPr>
          <w:b/>
          <w:bCs/>
          <w:color w:val="1E56A0"/>
        </w:rPr>
        <w:t xml:space="preserve">6.5 Dataset Schema</w:t>
      </w:r>
    </w:p>
    <w:p>
      <w:pPr>
        <w:spacing w:after="200" w:line="300"/>
        <w:jc w:val="both"/>
      </w:pPr>
      <w:r>
        <w:rPr>
          <w:rFonts w:ascii="Calibri" w:cs="Calibri" w:eastAsia="Calibri" w:hAnsi="Calibri"/>
          <w:sz w:val="22"/>
          <w:szCs w:val="22"/>
        </w:rPr>
        <w:t xml:space="preserve">The raw dataset produced by generate_data.py conforms to the following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Column</w:t>
            </w:r>
          </w:p>
        </w:tc>
        <w:tc>
          <w:tcPr>
            <w:tcW w:type="dxa" w:w="68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entity_id</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Unique identifier for the user, service account, or edge device.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entity_type</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One of user, service_account, or edge_device.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timestamp</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Date and time of the login event.</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source_ip</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IPv4 address the login originated from.</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geo_location</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Country associated with the login.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resource_accessed</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application or system accessed (e.g. Payroll, VPN, SCADA).</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auth_method</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Authentication method used (password, MFA, certificate, token, biometric).</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session_duration</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Session length in seconds.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command_sequence</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Simplified sequence of actions taken during the session.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device_fingerprint</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Unique identifier for the originating device.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browser</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Browser or client used to authenticate.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operating_system</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Operating system of the originating device.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login_result</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Outcome of the login attempt (success or fail).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risk_score</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Placeholder risk value generated at synthesis time.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attack_type</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Ground-truth label identifying the injected attack pattern, or Normal.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label</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Binary ground-truth label (0 = normal, 1 = anomaly).</w:t>
            </w:r>
          </w:p>
        </w:tc>
      </w:tr>
    </w:tbl>
    <w:p>
      <w:r>
        <w:br w:type="page"/>
      </w:r>
    </w:p>
    <w:p>
      <w:pPr>
        <w:pStyle w:val="Heading1"/>
        <w:spacing w:after="240" w:before="480"/>
      </w:pPr>
      <w:r>
        <w:rPr>
          <w:b/>
          <w:bCs/>
          <w:color w:val="0B1E3F"/>
        </w:rPr>
        <w:t xml:space="preserve">7. Feature Engineering</w:t>
      </w:r>
    </w:p>
    <w:p>
      <w:pPr>
        <w:spacing w:after="200" w:line="300"/>
        <w:jc w:val="both"/>
      </w:pPr>
      <w:r>
        <w:rPr>
          <w:rFonts w:ascii="Calibri" w:cs="Calibri" w:eastAsia="Calibri" w:hAnsi="Calibri"/>
          <w:sz w:val="22"/>
          <w:szCs w:val="22"/>
        </w:rPr>
        <w:t xml:space="preserve">Raw login events alone give a model little to reason about beyond the identity of the resource and the outcome of the login. The training pipeline therefore derives a set of behavioral features that translate raw fields into signals directly relevant to anomaly detection. Each engineered feature is described below.</w:t>
      </w:r>
    </w:p>
    <w:p>
      <w:pPr>
        <w:pStyle w:val="Heading2"/>
        <w:spacing w:after="160" w:before="320"/>
      </w:pPr>
      <w:r>
        <w:rPr>
          <w:b/>
          <w:bCs/>
          <w:color w:val="1E56A0"/>
        </w:rPr>
        <w:t xml:space="preserve">7.1 Office Hours</w:t>
      </w:r>
    </w:p>
    <w:p>
      <w:pPr>
        <w:spacing w:after="200" w:line="300"/>
        <w:jc w:val="both"/>
      </w:pPr>
      <w:r>
        <w:rPr>
          <w:rFonts w:ascii="Calibri" w:cs="Calibri" w:eastAsia="Calibri" w:hAnsi="Calibri"/>
          <w:sz w:val="22"/>
          <w:szCs w:val="22"/>
        </w:rPr>
        <w:t xml:space="preserve">The is_office_hours feature flags whether a login occurred between 08:00 and 18:59. Logins outside this window are not automatically treated as malicious, but the flag contributes to the overall risk score and gives the model a consistent, low-cardinality signal for time-of-day behavior.</w:t>
      </w:r>
    </w:p>
    <w:p>
      <w:pPr>
        <w:pStyle w:val="Heading2"/>
        <w:spacing w:after="160" w:before="320"/>
      </w:pPr>
      <w:r>
        <w:rPr>
          <w:b/>
          <w:bCs/>
          <w:color w:val="1E56A0"/>
        </w:rPr>
        <w:t xml:space="preserve">7.2 Weekend</w:t>
      </w:r>
    </w:p>
    <w:p>
      <w:pPr>
        <w:spacing w:after="200" w:line="300"/>
        <w:jc w:val="both"/>
      </w:pPr>
      <w:r>
        <w:rPr>
          <w:rFonts w:ascii="Calibri" w:cs="Calibri" w:eastAsia="Calibri" w:hAnsi="Calibri"/>
          <w:sz w:val="22"/>
          <w:szCs w:val="22"/>
        </w:rPr>
        <w:t xml:space="preserve">The is_weekend feature flags whether the login occurred on a Saturday or Sunday, derived from the weekday extracted from the event timestamp. Combined with office-hours, this feature helps distinguish routine operational activity from access patterns that fall outside an entity's typical working pattern.</w:t>
      </w:r>
    </w:p>
    <w:p>
      <w:pPr>
        <w:pStyle w:val="Heading2"/>
        <w:spacing w:after="160" w:before="320"/>
      </w:pPr>
      <w:r>
        <w:rPr>
          <w:b/>
          <w:bCs/>
          <w:color w:val="1E56A0"/>
        </w:rPr>
        <w:t xml:space="preserve">7.3 Resource Frequency</w:t>
      </w:r>
    </w:p>
    <w:p>
      <w:pPr>
        <w:spacing w:after="200" w:line="300"/>
        <w:jc w:val="both"/>
      </w:pPr>
      <w:r>
        <w:rPr>
          <w:rFonts w:ascii="Calibri" w:cs="Calibri" w:eastAsia="Calibri" w:hAnsi="Calibri"/>
          <w:sz w:val="22"/>
          <w:szCs w:val="22"/>
        </w:rPr>
        <w:t xml:space="preserve">The resource_frequency feature captures, for each entity, the proportion of that entity's historical events that touched the specific resource being accessed in the current event. A first-time or rarely used resource access produces a low frequency value, which is a strong behavioral indicator of lateral movement or privilege misuse.</w:t>
      </w:r>
    </w:p>
    <w:p>
      <w:pPr>
        <w:pStyle w:val="Heading2"/>
        <w:spacing w:after="160" w:before="320"/>
      </w:pPr>
      <w:r>
        <w:rPr>
          <w:b/>
          <w:bCs/>
          <w:color w:val="1E56A0"/>
        </w:rPr>
        <w:t xml:space="preserve">7.4 Hour Encoding</w:t>
      </w:r>
    </w:p>
    <w:p>
      <w:pPr>
        <w:spacing w:after="200" w:line="300"/>
        <w:jc w:val="both"/>
      </w:pPr>
      <w:r>
        <w:rPr>
          <w:rFonts w:ascii="Calibri" w:cs="Calibri" w:eastAsia="Calibri" w:hAnsi="Calibri"/>
          <w:sz w:val="22"/>
          <w:szCs w:val="22"/>
        </w:rPr>
        <w:t xml:space="preserve">Because hour-of-day is cyclical (23:00 and 00:00 are adjacent, not distant), the raw hour value is transformed into two continuous features, hour_sin and hour_cos, using a sine and cosine transformation. This encoding allows the model to treat the boundary between one day and the next as a natural continuation rather than a large numerical jump.</w:t>
      </w:r>
    </w:p>
    <w:p>
      <w:pPr>
        <w:pStyle w:val="Heading2"/>
        <w:spacing w:after="160" w:before="320"/>
      </w:pPr>
      <w:r>
        <w:rPr>
          <w:b/>
          <w:bCs/>
          <w:color w:val="1E56A0"/>
        </w:rPr>
        <w:t xml:space="preserve">7.5 Device Change</w:t>
      </w:r>
    </w:p>
    <w:p>
      <w:pPr>
        <w:spacing w:after="200" w:line="300"/>
        <w:jc w:val="both"/>
      </w:pPr>
      <w:r>
        <w:rPr>
          <w:rFonts w:ascii="Calibri" w:cs="Calibri" w:eastAsia="Calibri" w:hAnsi="Calibri"/>
          <w:sz w:val="22"/>
          <w:szCs w:val="22"/>
        </w:rPr>
        <w:t xml:space="preserve">The new_device feature flags whether the device fingerprint on the current event differs from the entity's most commonly observed device fingerprint. This feature is the primary behavioral signal for device spoofing, where an attacker authenticates using stolen credentials from an unfamiliar device.</w:t>
      </w:r>
    </w:p>
    <w:p>
      <w:pPr>
        <w:pStyle w:val="Heading2"/>
        <w:spacing w:after="160" w:before="320"/>
      </w:pPr>
      <w:r>
        <w:rPr>
          <w:b/>
          <w:bCs/>
          <w:color w:val="1E56A0"/>
        </w:rPr>
        <w:t xml:space="preserve">7.6 Failed Login</w:t>
      </w:r>
    </w:p>
    <w:p>
      <w:pPr>
        <w:spacing w:after="200" w:line="300"/>
        <w:jc w:val="both"/>
      </w:pPr>
      <w:r>
        <w:rPr>
          <w:rFonts w:ascii="Calibri" w:cs="Calibri" w:eastAsia="Calibri" w:hAnsi="Calibri"/>
          <w:sz w:val="22"/>
          <w:szCs w:val="22"/>
        </w:rPr>
        <w:t xml:space="preserve">The failed_login feature is a direct flag derived from the login_result field. In isolation, a single failed login is a weak signal, but combined with other features it distinguishes benign mistyped-password events from patterns such as brute force and credential stuffing, where failed logins cluster densely around a single account or source.</w:t>
      </w:r>
    </w:p>
    <w:p>
      <w:pPr>
        <w:pStyle w:val="Heading2"/>
        <w:spacing w:after="160" w:before="320"/>
      </w:pPr>
      <w:r>
        <w:rPr>
          <w:b/>
          <w:bCs/>
          <w:color w:val="1E56A0"/>
        </w:rPr>
        <w:t xml:space="preserve">7.7 Long Session</w:t>
      </w:r>
    </w:p>
    <w:p>
      <w:pPr>
        <w:spacing w:after="200" w:line="300"/>
        <w:jc w:val="both"/>
      </w:pPr>
      <w:r>
        <w:rPr>
          <w:rFonts w:ascii="Calibri" w:cs="Calibri" w:eastAsia="Calibri" w:hAnsi="Calibri"/>
          <w:sz w:val="22"/>
          <w:szCs w:val="22"/>
        </w:rPr>
        <w:t xml:space="preserve">The long_session feature flags sessions exceeding 30 minutes in duration. Extended session length is one of the defining characteristics of low-and-slow exfiltration, where an attacker maintains a long-lived session to extract data gradually rather than triggering volume-based alerts.</w:t>
      </w:r>
    </w:p>
    <w:p>
      <w:pPr>
        <w:pStyle w:val="Heading2"/>
        <w:spacing w:after="160" w:before="320"/>
      </w:pPr>
      <w:r>
        <w:rPr>
          <w:b/>
          <w:bCs/>
          <w:color w:val="1E56A0"/>
        </w:rPr>
        <w:t xml:space="preserve">7.8 Sensitive Resource</w:t>
      </w:r>
    </w:p>
    <w:p>
      <w:pPr>
        <w:spacing w:after="200" w:line="300"/>
        <w:jc w:val="both"/>
      </w:pPr>
      <w:r>
        <w:rPr>
          <w:rFonts w:ascii="Calibri" w:cs="Calibri" w:eastAsia="Calibri" w:hAnsi="Calibri"/>
          <w:sz w:val="22"/>
          <w:szCs w:val="22"/>
        </w:rPr>
        <w:t xml:space="preserve">The is_sensitive_resource feature flags access to a defined set of high-value resources: Database, Finance, Payroll, Production Server, SCADA, and PLC. Access to these resources carries materially higher risk than access to lower-sensitivity systems such as email, and this feature is weighted accordingly in the final risk score.</w:t>
      </w:r>
    </w:p>
    <w:p>
      <w:r>
        <w:br w:type="page"/>
      </w:r>
    </w:p>
    <w:p>
      <w:pPr>
        <w:pStyle w:val="Heading1"/>
        <w:spacing w:after="240" w:before="480"/>
      </w:pPr>
      <w:r>
        <w:rPr>
          <w:b/>
          <w:bCs/>
          <w:color w:val="0B1E3F"/>
        </w:rPr>
        <w:t xml:space="preserve">8. Machine Learning Model</w:t>
      </w:r>
    </w:p>
    <w:p>
      <w:pPr>
        <w:pStyle w:val="Heading2"/>
        <w:spacing w:after="160" w:before="320"/>
      </w:pPr>
      <w:r>
        <w:rPr>
          <w:b/>
          <w:bCs/>
          <w:color w:val="1E56A0"/>
        </w:rPr>
        <w:t xml:space="preserve">8.1 Isolation Forest</w:t>
      </w:r>
    </w:p>
    <w:p>
      <w:pPr>
        <w:spacing w:after="200" w:line="300"/>
        <w:jc w:val="both"/>
      </w:pPr>
      <w:r>
        <w:rPr>
          <w:rFonts w:ascii="Calibri" w:cs="Calibri" w:eastAsia="Calibri" w:hAnsi="Calibri"/>
          <w:sz w:val="22"/>
          <w:szCs w:val="22"/>
        </w:rPr>
        <w:t xml:space="preserve">Honeywell SentinelAI uses an Isolation Forest as its core anomaly detection model. Isolation Forest is an ensemble method that isolates observations by randomly selecting a feature and a split value; anomalous points, being few and behaviorally distinct, tend to be isolated in fewer splits than normal points, producing a shorter average path length across the ensemble's trees. This path length is converted into an anomaly score, which the model thresholds according to a configured contamination rate to produce a binary prediction.</w:t>
      </w:r>
    </w:p>
    <w:p>
      <w:pPr>
        <w:pStyle w:val="Heading2"/>
        <w:spacing w:after="160" w:before="320"/>
      </w:pPr>
      <w:r>
        <w:rPr>
          <w:b/>
          <w:bCs/>
          <w:color w:val="1E56A0"/>
        </w:rPr>
        <w:t xml:space="preserve">8.2 Why Isolation Forest Was Chosen</w:t>
      </w:r>
    </w:p>
    <w:p>
      <w:pPr>
        <w:spacing w:after="200" w:line="300"/>
        <w:jc w:val="both"/>
      </w:pPr>
      <w:r>
        <w:rPr>
          <w:rFonts w:ascii="Calibri" w:cs="Calibri" w:eastAsia="Calibri" w:hAnsi="Calibri"/>
          <w:sz w:val="22"/>
          <w:szCs w:val="22"/>
        </w:rPr>
        <w:t xml:space="preserve">Isolation Forest was selected over supervised alternatives for three reasons directly relevant to this problem. First, it is unsupervised: it does not require a labeled training set of past attacks, which mirrors the real-world constraint that novel attack patterns are, by definition, not yet present in historical labels. Second, it scales efficiently to the number of behavioral features engineered in this pipeline, without the computational overhead of distance-based methods across high-dimensional or mixed-type feature spaces. Third, it is well suited to low-contamination settings, matching the realistic assumption that only a small minority of enterprise login traffic is malicious at any given time.</w:t>
      </w:r>
    </w:p>
    <w:p>
      <w:pPr>
        <w:pStyle w:val="Heading2"/>
        <w:spacing w:after="160" w:before="320"/>
      </w:pPr>
      <w:r>
        <w:rPr>
          <w:b/>
          <w:bCs/>
          <w:color w:val="1E56A0"/>
        </w:rPr>
        <w:t xml:space="preserve">8.3 Training Pipeline</w:t>
      </w:r>
    </w:p>
    <w:p>
      <w:pPr>
        <w:spacing w:after="200" w:line="300"/>
        <w:jc w:val="both"/>
      </w:pPr>
      <w:r>
        <w:rPr>
          <w:rFonts w:ascii="Calibri" w:cs="Calibri" w:eastAsia="Calibri" w:hAnsi="Calibri"/>
          <w:sz w:val="22"/>
          <w:szCs w:val="22"/>
        </w:rPr>
        <w:t xml:space="preserve">The training pipeline proceeds through a fixed sequence of stages: the raw CSV is loaded and validated; duplicate rows are removed and missing values are imputed; time-based and behavioral features are engineered from the raw timestamp and categorical fields; categorical columns are label-encoded; the resulting feature matrix is scaled; the Isolation Forest is trained on the scaled matrix; and predictions, risk scores, and explanations are generated and evaluated against ground truth before all artifacts are persisted to disk.</w:t>
      </w:r>
    </w:p>
    <w:p>
      <w:pPr>
        <w:pStyle w:val="Heading2"/>
        <w:spacing w:after="160" w:before="320"/>
      </w:pPr>
      <w:r>
        <w:rPr>
          <w:b/>
          <w:bCs/>
          <w:color w:val="1E56A0"/>
        </w:rPr>
        <w:t xml:space="preserve">8.4 Label Encoding</w:t>
      </w:r>
    </w:p>
    <w:p>
      <w:pPr>
        <w:spacing w:after="200" w:line="300"/>
        <w:jc w:val="both"/>
      </w:pPr>
      <w:r>
        <w:rPr>
          <w:rFonts w:ascii="Calibri" w:cs="Calibri" w:eastAsia="Calibri" w:hAnsi="Calibri"/>
          <w:sz w:val="22"/>
          <w:szCs w:val="22"/>
        </w:rPr>
        <w:t xml:space="preserve">Eight categorical columns — entity_type, geo_location, resource_accessed, auth_method, command_sequence, browser, operating_system, and login_result — are converted to numeric codes using scikit-learn's LabelEncoder. Every fitted encoder is preserved and saved to models/label_encoders.pkl, allowing any downstream consumer, including the dashboard, to decode these columns back to their original human-readable values without needing to re-fit an encoder or rely on a fragile, hand-maintained mapping.</w:t>
      </w:r>
    </w:p>
    <w:p>
      <w:pPr>
        <w:pStyle w:val="Heading2"/>
        <w:spacing w:after="160" w:before="320"/>
      </w:pPr>
      <w:r>
        <w:rPr>
          <w:b/>
          <w:bCs/>
          <w:color w:val="1E56A0"/>
        </w:rPr>
        <w:t xml:space="preserve">8.5 Feature Scaling</w:t>
      </w:r>
    </w:p>
    <w:p>
      <w:pPr>
        <w:spacing w:after="200" w:line="300"/>
        <w:jc w:val="both"/>
      </w:pPr>
      <w:r>
        <w:rPr>
          <w:rFonts w:ascii="Calibri" w:cs="Calibri" w:eastAsia="Calibri" w:hAnsi="Calibri"/>
          <w:sz w:val="22"/>
          <w:szCs w:val="22"/>
        </w:rPr>
        <w:t xml:space="preserve">All numeric features in the final feature matrix are standardized using scikit-learn's StandardScaler, which rescales each feature to zero mean and unit variance. Standardization is important for Isolation Forest because, while the algorithm itself is split-based and not distance-based, consistent feature scale improves stability and comparability across the engineered behavioral signals used throughout the pipeline. The fitted scaler is persisted to models/scaler.pkl.</w:t>
      </w:r>
    </w:p>
    <w:p>
      <w:pPr>
        <w:pStyle w:val="Heading2"/>
        <w:spacing w:after="160" w:before="320"/>
      </w:pPr>
      <w:r>
        <w:rPr>
          <w:b/>
          <w:bCs/>
          <w:color w:val="1E56A0"/>
        </w:rPr>
        <w:t xml:space="preserve">8.6 Prediction</w:t>
      </w:r>
    </w:p>
    <w:p>
      <w:pPr>
        <w:spacing w:after="200" w:line="300"/>
        <w:jc w:val="both"/>
      </w:pPr>
      <w:r>
        <w:rPr>
          <w:rFonts w:ascii="Calibri" w:cs="Calibri" w:eastAsia="Calibri" w:hAnsi="Calibri"/>
          <w:sz w:val="22"/>
          <w:szCs w:val="22"/>
        </w:rPr>
        <w:t xml:space="preserve">Isolation Forest natively outputs -1 for anomalies and 1 for normal observations. The training pipeline converts this into the project's internal convention of 0 for normal and 1 for anomaly, ensuring consistency with the ground-truth label column and with every downstream consumer of the prediction column, including the dashboard's filters and KPI cards.</w:t>
      </w:r>
    </w:p>
    <w:p>
      <w:pPr>
        <w:pStyle w:val="Heading2"/>
        <w:spacing w:after="160" w:before="320"/>
      </w:pPr>
      <w:r>
        <w:rPr>
          <w:b/>
          <w:bCs/>
          <w:color w:val="1E56A0"/>
        </w:rPr>
        <w:t xml:space="preserve">8.7 Risk Scoring</w:t>
      </w:r>
    </w:p>
    <w:p>
      <w:pPr>
        <w:spacing w:after="200" w:line="300"/>
        <w:jc w:val="both"/>
      </w:pPr>
      <w:r>
        <w:rPr>
          <w:rFonts w:ascii="Calibri" w:cs="Calibri" w:eastAsia="Calibri" w:hAnsi="Calibri"/>
          <w:sz w:val="22"/>
          <w:szCs w:val="22"/>
        </w:rPr>
        <w:t xml:space="preserve">The model's binary prediction is one of six inputs combined into a continuous, weighted risk score, described in full in Section 9. This design ensures that even events the model does not flag as anomalous can still surface elevated risk when several individually moderate behavioral signals are present simultaneously.</w:t>
      </w:r>
    </w:p>
    <w:p>
      <w:pPr>
        <w:pStyle w:val="Heading2"/>
        <w:spacing w:after="160" w:before="320"/>
      </w:pPr>
      <w:r>
        <w:rPr>
          <w:b/>
          <w:bCs/>
          <w:color w:val="1E56A0"/>
        </w:rPr>
        <w:t xml:space="preserve">8.8 Evaluation</w:t>
      </w:r>
    </w:p>
    <w:p>
      <w:pPr>
        <w:spacing w:after="200" w:line="300"/>
        <w:jc w:val="both"/>
      </w:pPr>
      <w:r>
        <w:rPr>
          <w:rFonts w:ascii="Calibri" w:cs="Calibri" w:eastAsia="Calibri" w:hAnsi="Calibri"/>
          <w:sz w:val="22"/>
          <w:szCs w:val="22"/>
        </w:rPr>
        <w:t xml:space="preserve">The trained model's predictions are evaluated against the ground-truth label column using accuracy, precision, recall, F1 score, a confusion matrix, and a full classification report. These metrics are discussed in detail, with the measured results from this project, in Section 13.</w:t>
      </w:r>
    </w:p>
    <w:p>
      <w:r>
        <w:br w:type="page"/>
      </w:r>
    </w:p>
    <w:p>
      <w:pPr>
        <w:pStyle w:val="Heading1"/>
        <w:spacing w:after="240" w:before="480"/>
      </w:pPr>
      <w:r>
        <w:rPr>
          <w:b/>
          <w:bCs/>
          <w:color w:val="0B1E3F"/>
        </w:rPr>
        <w:t xml:space="preserve">9. Risk Scoring Methodology</w:t>
      </w:r>
    </w:p>
    <w:p>
      <w:pPr>
        <w:spacing w:after="200" w:line="300"/>
        <w:jc w:val="both"/>
      </w:pPr>
      <w:r>
        <w:rPr>
          <w:rFonts w:ascii="Calibri" w:cs="Calibri" w:eastAsia="Calibri" w:hAnsi="Calibri"/>
          <w:sz w:val="22"/>
          <w:szCs w:val="22"/>
        </w:rPr>
        <w:t xml:space="preserve">A binary anomaly prediction alone gives an analyst very little to act on: it does not indicate severity, and it does not explain which specific behavior triggered the flag. Honeywell SentinelAI addresses both limitations with a transparent, weighted risk-scoring methodology applied to every login event, whether or not the underlying model flagged it as anomalous.</w:t>
      </w:r>
    </w:p>
    <w:p>
      <w:pPr>
        <w:pStyle w:val="Heading2"/>
        <w:spacing w:after="160" w:before="320"/>
      </w:pPr>
      <w:r>
        <w:rPr>
          <w:b/>
          <w:bCs/>
          <w:color w:val="1E56A0"/>
        </w:rPr>
        <w:t xml:space="preserve">9.1 Weighted Scoring Method</w:t>
      </w:r>
    </w:p>
    <w:p>
      <w:pPr>
        <w:spacing w:after="200" w:line="300"/>
        <w:jc w:val="both"/>
      </w:pPr>
      <w:r>
        <w:rPr>
          <w:rFonts w:ascii="Calibri" w:cs="Calibri" w:eastAsia="Calibri" w:hAnsi="Calibri"/>
          <w:sz w:val="22"/>
          <w:szCs w:val="22"/>
        </w:rPr>
        <w:t xml:space="preserve">Six behavioral signals each contribute a fixed point value to a login event's risk score if that signal is present. The six weights sum to exactly 100, so the resulting score is naturally bounded between 0 and 100 without requiring an additional normalization step. The scoring table below lists each signal, its weight, and its behavioral rationale.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400"/>
      </w:tblGrid>
      <w:tr>
        <w:trPr>
          <w:tblHeader/>
        </w:trPr>
        <w:tc>
          <w:tcPr>
            <w:tcW w:type="dxa" w:w="36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Signal</w:t>
            </w:r>
          </w:p>
        </w:tc>
        <w:tc>
          <w:tcPr>
            <w:tcW w:type="dxa" w:w="18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Weight</w:t>
            </w:r>
          </w:p>
        </w:tc>
        <w:tc>
          <w:tcPr>
            <w:tcW w:type="dxa" w:w="44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Contribution</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Off-hour login</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15</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Login outside the entity's normal 08:00-18:59 window.</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Weekend login</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Login occurring on a Saturday or Sunday.</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Sensitive resource</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Access to Database, Finance, Payroll, Production Server, SCADA, or PLC.</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Long session</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15</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Session duration exceeding 30 minutes.</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Failed login</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Login attempt did not succeed.</w:t>
            </w:r>
          </w:p>
        </w:tc>
      </w:tr>
      <w:tr>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Isolation Forest anomaly</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trained model flagged the event as anomalous.</w:t>
            </w:r>
          </w:p>
        </w:tc>
      </w:tr>
    </w:tbl>
    <w:p>
      <w:pPr>
        <w:pStyle w:val="Heading2"/>
        <w:spacing w:after="160" w:before="320"/>
      </w:pPr>
      <w:r>
        <w:rPr>
          <w:b/>
          <w:bCs/>
          <w:color w:val="1E56A0"/>
        </w:rPr>
        <w:t xml:space="preserve">9.2 Risk Levels</w:t>
      </w:r>
    </w:p>
    <w:p>
      <w:pPr>
        <w:spacing w:after="200" w:line="300"/>
        <w:jc w:val="both"/>
      </w:pPr>
      <w:r>
        <w:rPr>
          <w:rFonts w:ascii="Calibri" w:cs="Calibri" w:eastAsia="Calibri" w:hAnsi="Calibri"/>
          <w:sz w:val="22"/>
          <w:szCs w:val="22"/>
        </w:rPr>
        <w:t xml:space="preserve">The resulting 0-100 score is mapped to one of four risk levels, used consistently across the dashboard's tables, charts, and gauge.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0"/>
        <w:gridCol w:w="4800"/>
      </w:tblGrid>
      <w:tr>
        <w:trPr>
          <w:tblHeader/>
        </w:trPr>
        <w:tc>
          <w:tcPr>
            <w:tcW w:type="dxa" w:w="50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 Score Range</w:t>
            </w:r>
          </w:p>
        </w:tc>
        <w:tc>
          <w:tcPr>
            <w:tcW w:type="dxa" w:w="48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 Level</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0 - 24</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Low</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25 - 49</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Medium</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50 - 74</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75 - 100</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Critical</w:t>
            </w:r>
          </w:p>
        </w:tc>
      </w:tr>
    </w:tbl>
    <w:p>
      <w:pPr>
        <w:pStyle w:val="Heading2"/>
        <w:spacing w:after="160" w:before="320"/>
      </w:pPr>
      <w:r>
        <w:rPr>
          <w:b/>
          <w:bCs/>
          <w:color w:val="1E56A0"/>
        </w:rPr>
        <w:t xml:space="preserve">9.3 Explainability</w:t>
      </w:r>
    </w:p>
    <w:p>
      <w:pPr>
        <w:spacing w:after="200" w:line="300"/>
        <w:jc w:val="both"/>
      </w:pPr>
      <w:r>
        <w:rPr>
          <w:rFonts w:ascii="Calibri" w:cs="Calibri" w:eastAsia="Calibri" w:hAnsi="Calibri"/>
          <w:sz w:val="22"/>
          <w:szCs w:val="22"/>
        </w:rPr>
        <w:t xml:space="preserve">For every event, the pipeline generates a plain-language explanation string listing exactly which of the six signals were present — for example, "Off-hour login, Sensitive resource, Failed login." This explanation is stored alongside the risk score and surfaced directly in the dashboard's Threat Explorer and Suspicious Event Detail views, giving analysts an immediate, auditable answer to "why was this flagged" without needing to inspect model internals or raw feature values.</w:t>
      </w:r>
    </w:p>
    <w:p>
      <w:r>
        <w:br w:type="page"/>
      </w:r>
    </w:p>
    <w:p>
      <w:pPr>
        <w:pStyle w:val="Heading1"/>
        <w:spacing w:after="240" w:before="480"/>
      </w:pPr>
      <w:r>
        <w:rPr>
          <w:b/>
          <w:bCs/>
          <w:color w:val="0B1E3F"/>
        </w:rPr>
        <w:t xml:space="preserve">10. Dashboard</w:t>
      </w:r>
    </w:p>
    <w:p>
      <w:pPr>
        <w:spacing w:after="200" w:line="300"/>
        <w:jc w:val="both"/>
      </w:pPr>
      <w:r>
        <w:rPr>
          <w:rFonts w:ascii="Calibri" w:cs="Calibri" w:eastAsia="Calibri" w:hAnsi="Calibri"/>
          <w:sz w:val="22"/>
          <w:szCs w:val="22"/>
        </w:rPr>
        <w:t xml:space="preserve">The dashboard is implemented as a Streamlit application organized into four pages, all sharing a single global set of sidebar filters spanning entity type, country, attack type, risk level, browser, operating system, authentication method, and date range.</w:t>
      </w:r>
    </w:p>
    <w:p>
      <w:pPr>
        <w:pStyle w:val="Heading2"/>
        <w:spacing w:after="160" w:before="320"/>
      </w:pPr>
      <w:r>
        <w:rPr>
          <w:b/>
          <w:bCs/>
          <w:color w:val="1E56A0"/>
        </w:rPr>
        <w:t xml:space="preserve">10.1 Dashboard Page</w:t>
      </w:r>
    </w:p>
    <w:p>
      <w:pPr>
        <w:spacing w:after="200" w:line="300"/>
        <w:jc w:val="both"/>
      </w:pPr>
      <w:r>
        <w:rPr>
          <w:rFonts w:ascii="Calibri" w:cs="Calibri" w:eastAsia="Calibri" w:hAnsi="Calibri"/>
          <w:sz w:val="22"/>
          <w:szCs w:val="22"/>
        </w:rPr>
        <w:t xml:space="preserve">The primary landing page presents five KPI cards — total events, normal events, anomalies, average risk score, and critical alerts — followed by a risk gauge, an automatically generated executive summary, a login timeline showing normal versus anomalous events over time, a hour-versus-weekday heatmap of login density, and distribution charts for attack type, risk level, and entity type.</w:t>
      </w:r>
    </w:p>
    <w:p>
      <w:pPr>
        <w:pStyle w:val="Heading2"/>
        <w:spacing w:after="160" w:before="320"/>
      </w:pPr>
      <w:r>
        <w:rPr>
          <w:b/>
          <w:bCs/>
          <w:color w:val="1E56A0"/>
        </w:rPr>
        <w:t xml:space="preserve">10.2 Threat Analytics Page</w:t>
      </w:r>
    </w:p>
    <w:p>
      <w:pPr>
        <w:spacing w:after="200" w:line="300"/>
        <w:jc w:val="both"/>
      </w:pPr>
      <w:r>
        <w:rPr>
          <w:rFonts w:ascii="Calibri" w:cs="Calibri" w:eastAsia="Calibri" w:hAnsi="Calibri"/>
          <w:sz w:val="22"/>
          <w:szCs w:val="22"/>
        </w:rPr>
        <w:t xml:space="preserve">This page provides deeper analytical views: a geographic bar chart of events by country, a horizontal bar chart of the ten highest-risk entities by average risk score, a treemap of resource access distribution, and pie and bar charts covering operating system, browser, and authentication method distributions.</w:t>
      </w:r>
    </w:p>
    <w:p>
      <w:pPr>
        <w:pStyle w:val="Heading2"/>
        <w:spacing w:after="160" w:before="320"/>
      </w:pPr>
      <w:r>
        <w:rPr>
          <w:b/>
          <w:bCs/>
          <w:color w:val="1E56A0"/>
        </w:rPr>
        <w:t xml:space="preserve">10.3 Risk Explorer Page</w:t>
      </w:r>
    </w:p>
    <w:p>
      <w:pPr>
        <w:spacing w:after="200" w:line="300"/>
        <w:jc w:val="both"/>
      </w:pPr>
      <w:r>
        <w:rPr>
          <w:rFonts w:ascii="Calibri" w:cs="Calibri" w:eastAsia="Calibri" w:hAnsi="Calibri"/>
          <w:sz w:val="22"/>
          <w:szCs w:val="22"/>
        </w:rPr>
        <w:t xml:space="preserve">This page implements the Threat Explorer: a filterable table containing only anomalous events, sorted by descending risk score, with columns for timestamp, entity ID, country, attack type, risk score, risk level, and explanation. Selecting a row opens a Suspicious Event Detail panel showing the complete event context — entity, country, IP address, resource, browser, operating system, command sequence, risk score, model prediction, and explanation — along with download buttons for exporting the full filtered dataset or the anomalies-only subset as CSV files.</w:t>
      </w:r>
    </w:p>
    <w:p>
      <w:pPr>
        <w:pStyle w:val="Heading2"/>
        <w:spacing w:after="160" w:before="320"/>
      </w:pPr>
      <w:r>
        <w:rPr>
          <w:b/>
          <w:bCs/>
          <w:color w:val="1E56A0"/>
        </w:rPr>
        <w:t xml:space="preserve">10.4 About Page</w:t>
      </w:r>
    </w:p>
    <w:p>
      <w:pPr>
        <w:spacing w:after="200" w:line="300"/>
        <w:jc w:val="both"/>
      </w:pPr>
      <w:r>
        <w:rPr>
          <w:rFonts w:ascii="Calibri" w:cs="Calibri" w:eastAsia="Calibri" w:hAnsi="Calibri"/>
          <w:sz w:val="22"/>
          <w:szCs w:val="22"/>
        </w:rPr>
        <w:t xml:space="preserve">This page presents a plain-language description of the project and its three-stage pipeline, intended to orient a new analyst or stakeholder viewing the dashboard for the first time.</w:t>
      </w:r>
    </w:p>
    <w:p>
      <w:pPr>
        <w:pStyle w:val="Heading2"/>
        <w:spacing w:after="160" w:before="320"/>
      </w:pPr>
      <w:r>
        <w:rPr>
          <w:b/>
          <w:bCs/>
          <w:color w:val="1E56A0"/>
        </w:rPr>
        <w:t xml:space="preserve">10.5 Visualization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400"/>
      </w:tblGrid>
      <w:tr>
        <w:trPr>
          <w:tblHeader/>
        </w:trPr>
        <w:tc>
          <w:tcPr>
            <w:tcW w:type="dxa" w:w="30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Visualization</w:t>
            </w:r>
          </w:p>
        </w:tc>
        <w:tc>
          <w:tcPr>
            <w:tcW w:type="dxa" w:w="24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Type</w:t>
            </w:r>
          </w:p>
        </w:tc>
        <w:tc>
          <w:tcPr>
            <w:tcW w:type="dxa" w:w="34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KPI Cards</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Metric cards</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At-a-glance volume and severity indicators.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Risk Gauge</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Indicator gauge</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Current average risk score against defined bands.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Login Timeline</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Line chart</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Normal versus anomalous event volume over time.</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Daily Heatmap</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Heatmap</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Hour-of-day versus weekday login density.</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Attack Type Distribution</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Pie chart</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Relative frequency of each attack pattern.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Risk Level Distribution</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Donut chart</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Proportion of events at each risk level.</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Top Risk Users</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Horizontal bar chart</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Ten entities with the highest average risk score.</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Geo Distribution</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Bar chart</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Event volume by country.</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Resource Access Distribution</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Treemap</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Proportional resource access across the enterprise.</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OS / Browser / Auth Method</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Pie and bar charts</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Distribution of technical access attributes.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Threat Explorer</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Interactive table</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Sorted, filterable list of anomalous events.</w:t>
            </w:r>
          </w:p>
        </w:tc>
      </w:tr>
    </w:tbl>
    <w:p>
      <w:r>
        <w:br w:type="page"/>
      </w:r>
    </w:p>
    <w:p>
      <w:pPr>
        <w:pStyle w:val="Heading1"/>
        <w:spacing w:after="240" w:before="480"/>
      </w:pPr>
      <w:r>
        <w:rPr>
          <w:b/>
          <w:bCs/>
          <w:color w:val="0B1E3F"/>
        </w:rPr>
        <w:t xml:space="preserve">11. Technology Stack</w:t>
      </w:r>
    </w:p>
    <w:p>
      <w:pPr>
        <w:spacing w:after="200" w:line="300"/>
        <w:jc w:val="both"/>
      </w:pPr>
      <w:r>
        <w:rPr>
          <w:rFonts w:ascii="Calibri" w:cs="Calibri" w:eastAsia="Calibri" w:hAnsi="Calibri"/>
          <w:sz w:val="22"/>
          <w:szCs w:val="22"/>
        </w:rPr>
        <w:t xml:space="preserve">The project relies exclusively on mature, well-documented open-source Python libraries, summarized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c>
          <w:tcPr>
            <w:tcW w:type="dxa" w:w="62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 in the Project</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Python</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Primary implementation language for all four modules.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Pandas</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Dataframe manipulation, feature engineering, and CSV I/O.</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NumPy</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Numerical operations, including cyclical hour encoding and risk score computation.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Scikit-Learn</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Isolation Forest model, StandardScaler, LabelEncoder, and evaluation metrics.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Plotly</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Interactive charting for every dashboard visualization.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Streamlit</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The interactive, analyst-facing dashboard application.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Joblib</w:t>
            </w:r>
          </w:p>
        </w:tc>
        <w:tc>
          <w:tcPr>
            <w:tcW w:type="dxa" w:w="6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Serialization of the trained model, scaler, and label encoders.</w:t>
            </w:r>
          </w:p>
        </w:tc>
      </w:tr>
    </w:tbl>
    <w:p>
      <w:r>
        <w:br w:type="page"/>
      </w:r>
    </w:p>
    <w:p>
      <w:pPr>
        <w:pStyle w:val="Heading1"/>
        <w:spacing w:after="240" w:before="480"/>
      </w:pPr>
      <w:r>
        <w:rPr>
          <w:b/>
          <w:bCs/>
          <w:color w:val="0B1E3F"/>
        </w:rPr>
        <w:t xml:space="preserve">12. Implementation Details</w:t>
      </w:r>
    </w:p>
    <w:p>
      <w:pPr>
        <w:pStyle w:val="Heading2"/>
        <w:spacing w:after="160" w:before="320"/>
      </w:pPr>
      <w:r>
        <w:rPr>
          <w:b/>
          <w:bCs/>
          <w:color w:val="1E56A0"/>
        </w:rPr>
        <w:t xml:space="preserve">12.1 Folder Structure</w:t>
      </w:r>
    </w:p>
    <w:p>
      <w:pPr>
        <w:spacing w:after="200" w:line="300"/>
        <w:jc w:val="both"/>
      </w:pPr>
      <w:r>
        <w:rPr>
          <w:rFonts w:ascii="Calibri" w:cs="Calibri" w:eastAsia="Calibri" w:hAnsi="Calibri"/>
          <w:sz w:val="22"/>
          <w:szCs w:val="22"/>
        </w:rPr>
        <w:t xml:space="preserve">The project follows a conventional, predictable folder layout:</w:t>
      </w:r>
    </w:p>
    <w:p>
      <w:pPr>
        <w:shd w:fill="F2F5FA" w:val="clear"/>
        <w:spacing w:after="240"/>
      </w:pPr>
      <w:r>
        <w:rPr>
          <w:rFonts w:ascii="Consolas" w:cs="Consolas" w:eastAsia="Consolas" w:hAnsi="Consolas"/>
          <w:sz w:val="20"/>
          <w:szCs w:val="20"/>
        </w:rPr>
        <w:t xml:space="preserve">Honeywell-SentinelAI/
├── data/
│   ├── raw/               (login_logs.csv)
│   └── processed/         (processed_logs.csv)
├── models/                (anomaly_model.pkl, scaler.pkl, label_encoders.pkl)
├── src/
│   ├── generate_data.py
│   ├── train_model.py
│   └── utils.py
├── dashboard.py
├── requirements.txt
├── README.md
├── assets/
└── reports/</w:t>
      </w:r>
    </w:p>
    <w:p>
      <w:pPr>
        <w:pStyle w:val="Heading2"/>
        <w:spacing w:after="160" w:before="320"/>
      </w:pPr>
      <w:r>
        <w:rPr>
          <w:b/>
          <w:bCs/>
          <w:color w:val="1E56A0"/>
        </w:rPr>
        <w:t xml:space="preserve">12.2 Execution Flow</w:t>
      </w:r>
    </w:p>
    <w:p>
      <w:pPr>
        <w:spacing w:after="200" w:line="300"/>
        <w:jc w:val="both"/>
      </w:pPr>
      <w:r>
        <w:rPr>
          <w:rFonts w:ascii="Calibri" w:cs="Calibri" w:eastAsia="Calibri" w:hAnsi="Calibri"/>
          <w:sz w:val="22"/>
          <w:szCs w:val="22"/>
        </w:rPr>
        <w:t xml:space="preserve">The pipeline is executed in three sequential steps. First, python generate_data.py produces the raw synthetic dataset. Second, python train_model.py consumes that dataset, trains the model, and produces the processed dataset and all model artifacts. Third, streamlit run dashboard.py launches the analyst-facing dashboard against the processed dataset and saved artifacts. Each step can be re-run independently as long as its required input files already exist on disk.</w:t>
      </w:r>
    </w:p>
    <w:p>
      <w:pPr>
        <w:pStyle w:val="Heading2"/>
        <w:spacing w:after="160" w:before="320"/>
      </w:pPr>
      <w:r>
        <w:rPr>
          <w:b/>
          <w:bCs/>
          <w:color w:val="1E56A0"/>
        </w:rPr>
        <w:t xml:space="preserve">12.3 Generated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rPr>
          <w:tblHeader/>
        </w:trPr>
        <w:tc>
          <w:tcPr>
            <w:tcW w:type="dxa" w:w="34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File</w:t>
            </w:r>
          </w:p>
        </w:tc>
        <w:tc>
          <w:tcPr>
            <w:tcW w:type="dxa" w:w="26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Produced By</w:t>
            </w:r>
          </w:p>
        </w:tc>
        <w:tc>
          <w:tcPr>
            <w:tcW w:type="dxa" w:w="34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data/raw/login_logs.csv</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generate_data.py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Raw synthetic login events with ground-truth labels.</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data/processed/processed_logs.csv</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train_model.py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Fully engineered, encoded, scored dataset.</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models/anomaly_model.pkl</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train_model.py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Trained Isolation Forest model.</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models/scaler.pkl</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train_model.py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Fitted StandardScaler for numeric features.</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models/label_encoders.pkl</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train_model.py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Fitted LabelEncoders for every categorical column.</w:t>
            </w:r>
          </w:p>
        </w:tc>
      </w:tr>
    </w:tbl>
    <w:p>
      <w:r>
        <w:br w:type="page"/>
      </w:r>
    </w:p>
    <w:p>
      <w:pPr>
        <w:pStyle w:val="Heading1"/>
        <w:spacing w:after="240" w:before="480"/>
      </w:pPr>
      <w:r>
        <w:rPr>
          <w:b/>
          <w:bCs/>
          <w:color w:val="0B1E3F"/>
        </w:rPr>
        <w:t xml:space="preserve">13. Results</w:t>
      </w:r>
    </w:p>
    <w:p>
      <w:pPr>
        <w:pStyle w:val="Heading2"/>
        <w:spacing w:after="160" w:before="320"/>
      </w:pPr>
      <w:r>
        <w:rPr>
          <w:b/>
          <w:bCs/>
          <w:color w:val="1E56A0"/>
        </w:rPr>
        <w:t xml:space="preserve">13.1 Dataset Statistics</w:t>
      </w:r>
    </w:p>
    <w:p>
      <w:pPr>
        <w:spacing w:after="200" w:line="300"/>
        <w:jc w:val="both"/>
      </w:pPr>
      <w:r>
        <w:rPr>
          <w:rFonts w:ascii="Calibri" w:cs="Calibri" w:eastAsia="Calibri" w:hAnsi="Calibri"/>
          <w:sz w:val="22"/>
          <w:szCs w:val="22"/>
        </w:rPr>
        <w:t xml:space="preserve">The synthetic dataset used for training and evaluation contained 10,000 total login events, of which 9,700 were normal events and 300 were attack events distributed across the seven supported attack patterns, consistent with the target 97:3 ratio described in Section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0"/>
        <w:gridCol w:w="4800"/>
      </w:tblGrid>
      <w:tr>
        <w:trPr>
          <w:tblHeader/>
        </w:trPr>
        <w:tc>
          <w:tcPr>
            <w:tcW w:type="dxa" w:w="50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48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Total Events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10,000</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Normal Events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9,700</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Attack Events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Attack Ratio</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w:t>
            </w:r>
          </w:p>
        </w:tc>
      </w:tr>
    </w:tbl>
    <w:p>
      <w:pPr>
        <w:pStyle w:val="Heading2"/>
        <w:spacing w:after="160" w:before="320"/>
      </w:pPr>
      <w:r>
        <w:rPr>
          <w:b/>
          <w:bCs/>
          <w:color w:val="1E56A0"/>
        </w:rPr>
        <w:t xml:space="preserve">13.2 Model Performance</w:t>
      </w:r>
    </w:p>
    <w:p>
      <w:pPr>
        <w:spacing w:after="200" w:line="300"/>
        <w:jc w:val="both"/>
      </w:pPr>
      <w:r>
        <w:rPr>
          <w:rFonts w:ascii="Calibri" w:cs="Calibri" w:eastAsia="Calibri" w:hAnsi="Calibri"/>
          <w:sz w:val="22"/>
          <w:szCs w:val="22"/>
        </w:rPr>
        <w:t xml:space="preserve">The trained Isolation Forest was evaluated against the ground-truth label column using standard binary classification metrics, summarized below.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0"/>
        <w:gridCol w:w="4800"/>
      </w:tblGrid>
      <w:tr>
        <w:trPr>
          <w:tblHeader/>
        </w:trPr>
        <w:tc>
          <w:tcPr>
            <w:tcW w:type="dxa" w:w="50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4800"/>
            <w:shd w:fill="1E56A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Accuracy</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0.98</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Precision (anomaly class)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0.67</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Recall (anomaly class)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0.67</w:t>
            </w:r>
          </w:p>
        </w:tc>
      </w:tr>
      <w:tr>
        <w:tc>
          <w:tcPr>
            <w:tcW w:type="dxa" w:w="5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F1 Score (anomaly class)</w:t>
            </w:r>
          </w:p>
        </w:tc>
        <w:tc>
          <w:tcPr>
            <w:tcW w:type="dxa" w:w="4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0.67</w:t>
            </w:r>
          </w:p>
        </w:tc>
      </w:tr>
    </w:tbl>
    <w:p>
      <w:pPr>
        <w:pStyle w:val="Heading2"/>
        <w:spacing w:after="160" w:before="320"/>
      </w:pPr>
      <w:r>
        <w:rPr>
          <w:b/>
          <w:bCs/>
          <w:color w:val="1E56A0"/>
        </w:rPr>
        <w:t xml:space="preserve">13.3 Discussion</w:t>
      </w:r>
    </w:p>
    <w:p>
      <w:pPr>
        <w:spacing w:after="200" w:line="300"/>
        <w:jc w:val="both"/>
      </w:pPr>
      <w:r>
        <w:rPr>
          <w:rFonts w:ascii="Calibri" w:cs="Calibri" w:eastAsia="Calibri" w:hAnsi="Calibri"/>
          <w:sz w:val="22"/>
          <w:szCs w:val="22"/>
        </w:rPr>
        <w:t xml:space="preserve">The overall accuracy of approximately 98% is expected given the strong class imbalance in the dataset; the more informative figures are the precision, recall, and F1 score on the anomaly class, all of approximately 0.67. This means the model correctly identified roughly two-thirds of true attack events while maintaining a correspondingly low false-positive rate, without ever having seen a single labeled attack example during training. For an unsupervised model operating purely on engineered behavioral features and a fixed contamination assumption, this represents a strong result and validates the core hypothesis of the project: that behavioral deviation, rather than rule matching, is a viable and effective detection strategy for enterprise authentication anomalies.</w:t>
      </w:r>
    </w:p>
    <w:p>
      <w:pPr>
        <w:spacing w:after="200" w:line="300"/>
        <w:jc w:val="both"/>
      </w:pPr>
      <w:r>
        <w:rPr>
          <w:rFonts w:ascii="Calibri" w:cs="Calibri" w:eastAsia="Calibri" w:hAnsi="Calibri"/>
          <w:sz w:val="22"/>
          <w:szCs w:val="22"/>
        </w:rPr>
        <w:t xml:space="preserve">The confusion matrix produced during evaluation showed a balanced distribution of errors between false positives and false negatives, rather than the model systematically favoring one type of mistake. This balance is a desirable property in a production SOC context, where both missed attacks and alert fatigue carry real operational costs, and it suggests that the chosen contamination rate of 3% was well matched to the true underlying attack ratio in the dataset.</w:t>
      </w:r>
    </w:p>
    <w:p>
      <w:r>
        <w:br w:type="page"/>
      </w:r>
    </w:p>
    <w:p>
      <w:pPr>
        <w:pStyle w:val="Heading1"/>
        <w:spacing w:after="240" w:before="480"/>
      </w:pPr>
      <w:r>
        <w:rPr>
          <w:b/>
          <w:bCs/>
          <w:color w:val="0B1E3F"/>
        </w:rPr>
        <w:t xml:space="preserve">14. Screenshots</w:t>
      </w:r>
    </w:p>
    <w:p>
      <w:pPr>
        <w:spacing w:after="200" w:line="300"/>
        <w:jc w:val="both"/>
      </w:pPr>
      <w:r>
        <w:rPr>
          <w:rFonts w:ascii="Calibri" w:cs="Calibri" w:eastAsia="Calibri" w:hAnsi="Calibri"/>
          <w:sz w:val="22"/>
          <w:szCs w:val="22"/>
        </w:rPr>
        <w:t xml:space="preserve">The following figures illustrate the SentinelAI dashboard and architecture. Screenshot images should be inserted in place of each placeholder prior to final submission.</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Architecture Diagram ]</w:t>
      </w:r>
    </w:p>
    <w:p>
      <w:pPr>
        <w:spacing w:after="320" w:before="80"/>
        <w:jc w:val="center"/>
      </w:pPr>
      <w:r>
        <w:rPr>
          <w:rFonts w:ascii="Calibri" w:cs="Calibri" w:eastAsia="Calibri" w:hAnsi="Calibri"/>
          <w:i/>
          <w:iCs/>
          <w:color w:val="555555"/>
          <w:sz w:val="20"/>
          <w:szCs w:val="20"/>
        </w:rPr>
        <w:t xml:space="preserve">Figure 2: High-level system architecture showing the four core modules and their data-driven interactions.</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Dashboard — Overview Page ]</w:t>
      </w:r>
    </w:p>
    <w:p>
      <w:pPr>
        <w:spacing w:after="320" w:before="80"/>
        <w:jc w:val="center"/>
      </w:pPr>
      <w:r>
        <w:rPr>
          <w:rFonts w:ascii="Calibri" w:cs="Calibri" w:eastAsia="Calibri" w:hAnsi="Calibri"/>
          <w:i/>
          <w:iCs/>
          <w:color w:val="555555"/>
          <w:sz w:val="20"/>
          <w:szCs w:val="20"/>
        </w:rPr>
        <w:t xml:space="preserve">Figure 3: The primary Dashboard page, showing KPI cards, the risk gauge, and the executive summary.</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Threat Analytics Page ]</w:t>
      </w:r>
    </w:p>
    <w:p>
      <w:pPr>
        <w:spacing w:after="320" w:before="80"/>
        <w:jc w:val="center"/>
      </w:pPr>
      <w:r>
        <w:rPr>
          <w:rFonts w:ascii="Calibri" w:cs="Calibri" w:eastAsia="Calibri" w:hAnsi="Calibri"/>
          <w:i/>
          <w:iCs/>
          <w:color w:val="555555"/>
          <w:sz w:val="20"/>
          <w:szCs w:val="20"/>
        </w:rPr>
        <w:t xml:space="preserve">Figure 4: The Threat Analytics page, showing geographic distribution and top-risk-user analysis.</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Daily Heatmap ]</w:t>
      </w:r>
    </w:p>
    <w:p>
      <w:pPr>
        <w:spacing w:after="320" w:before="80"/>
        <w:jc w:val="center"/>
      </w:pPr>
      <w:r>
        <w:rPr>
          <w:rFonts w:ascii="Calibri" w:cs="Calibri" w:eastAsia="Calibri" w:hAnsi="Calibri"/>
          <w:i/>
          <w:iCs/>
          <w:color w:val="555555"/>
          <w:sz w:val="20"/>
          <w:szCs w:val="20"/>
        </w:rPr>
        <w:t xml:space="preserve">Figure 5: Hour-versus-weekday heatmap of login event density.</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Threat Explorer Table ]</w:t>
      </w:r>
    </w:p>
    <w:p>
      <w:pPr>
        <w:spacing w:after="320" w:before="80"/>
        <w:jc w:val="center"/>
      </w:pPr>
      <w:r>
        <w:rPr>
          <w:rFonts w:ascii="Calibri" w:cs="Calibri" w:eastAsia="Calibri" w:hAnsi="Calibri"/>
          <w:i/>
          <w:iCs/>
          <w:color w:val="555555"/>
          <w:sz w:val="20"/>
          <w:szCs w:val="20"/>
        </w:rPr>
        <w:t xml:space="preserve">Figure 6: The Threat Explorer table, filtered to anomalous events and sorted by risk score.</w:t>
      </w:r>
    </w:p>
    <w:p>
      <w:pPr>
        <w:pBdr>
          <w:top w:val="single" w:color="AAAAAA" w:sz="6"/>
          <w:bottom w:val="single" w:color="AAAAAA" w:sz="6"/>
          <w:left w:val="single" w:color="AAAAAA" w:sz="6"/>
          <w:right w:val="single" w:color="AAAAAA" w:sz="6"/>
        </w:pBdr>
        <w:spacing w:after="80" w:before="200"/>
        <w:jc w:val="center"/>
      </w:pPr>
      <w:r>
        <w:rPr>
          <w:rFonts w:ascii="Calibri" w:cs="Calibri" w:eastAsia="Calibri" w:hAnsi="Calibri"/>
          <w:i/>
          <w:iCs/>
          <w:color w:val="777777"/>
          <w:sz w:val="22"/>
          <w:szCs w:val="22"/>
        </w:rPr>
        <w:t xml:space="preserve">[ Executive Summary Panel ]</w:t>
      </w:r>
    </w:p>
    <w:p>
      <w:pPr>
        <w:spacing w:after="320" w:before="80"/>
        <w:jc w:val="center"/>
      </w:pPr>
      <w:r>
        <w:rPr>
          <w:rFonts w:ascii="Calibri" w:cs="Calibri" w:eastAsia="Calibri" w:hAnsi="Calibri"/>
          <w:i/>
          <w:iCs/>
          <w:color w:val="555555"/>
          <w:sz w:val="20"/>
          <w:szCs w:val="20"/>
        </w:rPr>
        <w:t xml:space="preserve">Figure 7: The automatically generated executive summary panel.</w:t>
      </w:r>
    </w:p>
    <w:p>
      <w:r>
        <w:br w:type="page"/>
      </w:r>
    </w:p>
    <w:p>
      <w:pPr>
        <w:pStyle w:val="Heading1"/>
        <w:spacing w:after="240" w:before="480"/>
      </w:pPr>
      <w:r>
        <w:rPr>
          <w:b/>
          <w:bCs/>
          <w:color w:val="0B1E3F"/>
        </w:rPr>
        <w:t xml:space="preserve">15. Advantages</w:t>
      </w:r>
    </w:p>
    <w:p>
      <w:pPr>
        <w:pStyle w:val="ListParagraph"/>
        <w:numPr>
          <w:ilvl w:val="0"/>
          <w:numId w:val="1"/>
        </w:numPr>
        <w:spacing w:after="100"/>
      </w:pPr>
      <w:r>
        <w:rPr>
          <w:rFonts w:ascii="Calibri" w:cs="Calibri" w:eastAsia="Calibri" w:hAnsi="Calibri"/>
          <w:sz w:val="22"/>
          <w:szCs w:val="22"/>
        </w:rPr>
        <w:t xml:space="preserve">Per-entity behavioral baselining replaces uniform, one-size-fits-all detection rules.</w:t>
      </w:r>
    </w:p>
    <w:p>
      <w:pPr>
        <w:pStyle w:val="ListParagraph"/>
        <w:numPr>
          <w:ilvl w:val="0"/>
          <w:numId w:val="1"/>
        </w:numPr>
        <w:spacing w:after="100"/>
      </w:pPr>
      <w:r>
        <w:rPr>
          <w:rFonts w:ascii="Calibri" w:cs="Calibri" w:eastAsia="Calibri" w:hAnsi="Calibri"/>
          <w:sz w:val="22"/>
          <w:szCs w:val="22"/>
        </w:rPr>
        <w:t xml:space="preserve">Unsupervised training removes dependence on historical labeled attack data, allowing the model to generalize to attack patterns it was not explicitly trained to recognize.</w:t>
      </w:r>
    </w:p>
    <w:p>
      <w:pPr>
        <w:pStyle w:val="ListParagraph"/>
        <w:numPr>
          <w:ilvl w:val="0"/>
          <w:numId w:val="1"/>
        </w:numPr>
        <w:spacing w:after="100"/>
      </w:pPr>
      <w:r>
        <w:rPr>
          <w:rFonts w:ascii="Calibri" w:cs="Calibri" w:eastAsia="Calibri" w:hAnsi="Calibri"/>
          <w:sz w:val="22"/>
          <w:szCs w:val="22"/>
        </w:rPr>
        <w:t xml:space="preserve">Continuous, weighted risk scoring supports triage prioritization rather than binary alert-or-ignore decisions.</w:t>
      </w:r>
    </w:p>
    <w:p>
      <w:pPr>
        <w:pStyle w:val="ListParagraph"/>
        <w:numPr>
          <w:ilvl w:val="0"/>
          <w:numId w:val="1"/>
        </w:numPr>
        <w:spacing w:after="100"/>
      </w:pPr>
      <w:r>
        <w:rPr>
          <w:rFonts w:ascii="Calibri" w:cs="Calibri" w:eastAsia="Calibri" w:hAnsi="Calibri"/>
          <w:sz w:val="22"/>
          <w:szCs w:val="22"/>
        </w:rPr>
        <w:t xml:space="preserve">Explicit, per-event explanations reduce analyst investigation time and support auditability.</w:t>
      </w:r>
    </w:p>
    <w:p>
      <w:pPr>
        <w:pStyle w:val="ListParagraph"/>
        <w:numPr>
          <w:ilvl w:val="0"/>
          <w:numId w:val="1"/>
        </w:numPr>
        <w:spacing w:after="100"/>
      </w:pPr>
      <w:r>
        <w:rPr>
          <w:rFonts w:ascii="Calibri" w:cs="Calibri" w:eastAsia="Calibri" w:hAnsi="Calibri"/>
          <w:sz w:val="22"/>
          <w:szCs w:val="22"/>
        </w:rPr>
        <w:t xml:space="preserve">A strictly modular, file-based architecture allows any pipeline stage to be re-run, tested, or replaced independently.</w:t>
      </w:r>
    </w:p>
    <w:p>
      <w:pPr>
        <w:pStyle w:val="ListParagraph"/>
        <w:numPr>
          <w:ilvl w:val="0"/>
          <w:numId w:val="1"/>
        </w:numPr>
        <w:spacing w:after="100"/>
      </w:pPr>
      <w:r>
        <w:rPr>
          <w:rFonts w:ascii="Calibri" w:cs="Calibri" w:eastAsia="Calibri" w:hAnsi="Calibri"/>
          <w:sz w:val="22"/>
          <w:szCs w:val="22"/>
        </w:rPr>
        <w:t xml:space="preserve">The dashboard is fully interactive, allowing analysts to filter across every relevant dimension without writing queries.</w:t>
      </w:r>
    </w:p>
    <w:p>
      <w:pPr>
        <w:pStyle w:val="ListParagraph"/>
        <w:numPr>
          <w:ilvl w:val="0"/>
          <w:numId w:val="1"/>
        </w:numPr>
        <w:spacing w:after="100"/>
      </w:pPr>
      <w:r>
        <w:rPr>
          <w:rFonts w:ascii="Calibri" w:cs="Calibri" w:eastAsia="Calibri" w:hAnsi="Calibri"/>
          <w:sz w:val="22"/>
          <w:szCs w:val="22"/>
        </w:rPr>
        <w:t xml:space="preserve">The entire system runs locally with open-source tooling, requiring no proprietary infrastructure or paid services.</w:t>
      </w:r>
    </w:p>
    <w:p>
      <w:r>
        <w:br w:type="page"/>
      </w:r>
    </w:p>
    <w:p>
      <w:pPr>
        <w:pStyle w:val="Heading1"/>
        <w:spacing w:after="240" w:before="480"/>
      </w:pPr>
      <w:r>
        <w:rPr>
          <w:b/>
          <w:bCs/>
          <w:color w:val="0B1E3F"/>
        </w:rPr>
        <w:t xml:space="preserve">16. Limitations</w:t>
      </w:r>
    </w:p>
    <w:p>
      <w:pPr>
        <w:pStyle w:val="ListParagraph"/>
        <w:numPr>
          <w:ilvl w:val="0"/>
          <w:numId w:val="1"/>
        </w:numPr>
        <w:spacing w:after="100"/>
      </w:pPr>
      <w:r>
        <w:rPr>
          <w:rFonts w:ascii="Calibri" w:cs="Calibri" w:eastAsia="Calibri" w:hAnsi="Calibri"/>
          <w:sz w:val="22"/>
          <w:szCs w:val="22"/>
        </w:rPr>
        <w:t xml:space="preserve">The dataset used for training and evaluation is entirely synthetic; performance on real enterprise traffic has not been validated and would require access to genuine, appropriately anonymized authentication logs.</w:t>
      </w:r>
    </w:p>
    <w:p>
      <w:pPr>
        <w:pStyle w:val="ListParagraph"/>
        <w:numPr>
          <w:ilvl w:val="0"/>
          <w:numId w:val="1"/>
        </w:numPr>
        <w:spacing w:after="100"/>
      </w:pPr>
      <w:r>
        <w:rPr>
          <w:rFonts w:ascii="Calibri" w:cs="Calibri" w:eastAsia="Calibri" w:hAnsi="Calibri"/>
          <w:sz w:val="22"/>
          <w:szCs w:val="22"/>
        </w:rPr>
        <w:t xml:space="preserve">The Isolation Forest model operates on a fixed contamination rate of 3%, which must be re-tuned if the true proportion of malicious traffic in a deployment environment differs meaningfully from this assumption.</w:t>
      </w:r>
    </w:p>
    <w:p>
      <w:pPr>
        <w:pStyle w:val="ListParagraph"/>
        <w:numPr>
          <w:ilvl w:val="0"/>
          <w:numId w:val="1"/>
        </w:numPr>
        <w:spacing w:after="100"/>
      </w:pPr>
      <w:r>
        <w:rPr>
          <w:rFonts w:ascii="Calibri" w:cs="Calibri" w:eastAsia="Calibri" w:hAnsi="Calibri"/>
          <w:sz w:val="22"/>
          <w:szCs w:val="22"/>
        </w:rPr>
        <w:t xml:space="preserve">The system processes data in batch rather than in real time; it does not currently ingest or score live authentication streams.</w:t>
      </w:r>
    </w:p>
    <w:p>
      <w:pPr>
        <w:pStyle w:val="ListParagraph"/>
        <w:numPr>
          <w:ilvl w:val="0"/>
          <w:numId w:val="1"/>
        </w:numPr>
        <w:spacing w:after="100"/>
      </w:pPr>
      <w:r>
        <w:rPr>
          <w:rFonts w:ascii="Calibri" w:cs="Calibri" w:eastAsia="Calibri" w:hAnsi="Calibri"/>
          <w:sz w:val="22"/>
          <w:szCs w:val="22"/>
        </w:rPr>
        <w:t xml:space="preserve">The weighted risk-scoring formula uses fixed, hand-selected weights rather than weights learned or calibrated from outcome data.</w:t>
      </w:r>
    </w:p>
    <w:p>
      <w:pPr>
        <w:pStyle w:val="ListParagraph"/>
        <w:numPr>
          <w:ilvl w:val="0"/>
          <w:numId w:val="1"/>
        </w:numPr>
        <w:spacing w:after="100"/>
      </w:pPr>
      <w:r>
        <w:rPr>
          <w:rFonts w:ascii="Calibri" w:cs="Calibri" w:eastAsia="Calibri" w:hAnsi="Calibri"/>
          <w:sz w:val="22"/>
          <w:szCs w:val="22"/>
        </w:rPr>
        <w:t xml:space="preserve">The dashboard does not currently include authentication or role-based access control, and is intended for local or internally trusted deployment only.</w:t>
      </w:r>
    </w:p>
    <w:p>
      <w:pPr>
        <w:pStyle w:val="ListParagraph"/>
        <w:numPr>
          <w:ilvl w:val="0"/>
          <w:numId w:val="1"/>
        </w:numPr>
        <w:spacing w:after="100"/>
      </w:pPr>
      <w:r>
        <w:rPr>
          <w:rFonts w:ascii="Calibri" w:cs="Calibri" w:eastAsia="Calibri" w:hAnsi="Calibri"/>
          <w:sz w:val="22"/>
          <w:szCs w:val="22"/>
        </w:rPr>
        <w:t xml:space="preserve">The model is retrained as a full batch job rather than incrementally, so behavioral drift over time requires periodic full retraining rather than continuous adaptation.</w:t>
      </w:r>
    </w:p>
    <w:p>
      <w:r>
        <w:br w:type="page"/>
      </w:r>
    </w:p>
    <w:p>
      <w:pPr>
        <w:pStyle w:val="Heading1"/>
        <w:spacing w:after="240" w:before="480"/>
      </w:pPr>
      <w:r>
        <w:rPr>
          <w:b/>
          <w:bCs/>
          <w:color w:val="0B1E3F"/>
        </w:rPr>
        <w:t xml:space="preserve">17. Future Enhancements</w:t>
      </w:r>
    </w:p>
    <w:p>
      <w:pPr>
        <w:spacing w:after="200" w:line="300"/>
        <w:jc w:val="both"/>
      </w:pPr>
      <w:r>
        <w:rPr>
          <w:rFonts w:ascii="Calibri" w:cs="Calibri" w:eastAsia="Calibri" w:hAnsi="Calibri"/>
          <w:sz w:val="22"/>
          <w:szCs w:val="22"/>
        </w:rPr>
        <w:t xml:space="preserve">Several extensions have been identified as natural next steps beyond the current hackathon scope:</w:t>
      </w:r>
    </w:p>
    <w:p>
      <w:pPr>
        <w:pStyle w:val="Heading2"/>
        <w:spacing w:after="160" w:before="320"/>
      </w:pPr>
      <w:r>
        <w:rPr>
          <w:b/>
          <w:bCs/>
          <w:color w:val="1E56A0"/>
        </w:rPr>
        <w:t xml:space="preserve">17.1 Autoencoders</w:t>
      </w:r>
    </w:p>
    <w:p>
      <w:pPr>
        <w:spacing w:after="200" w:line="300"/>
        <w:jc w:val="both"/>
      </w:pPr>
      <w:r>
        <w:rPr>
          <w:rFonts w:ascii="Calibri" w:cs="Calibri" w:eastAsia="Calibri" w:hAnsi="Calibri"/>
          <w:sz w:val="22"/>
          <w:szCs w:val="22"/>
        </w:rPr>
        <w:t xml:space="preserve">A reconstruction-error-based autoencoder could complement the Isolation Forest by learning a compressed representation of normal behavior and flagging events that reconstruct poorly, providing a second, independent anomaly signal for ensemble scoring.</w:t>
      </w:r>
    </w:p>
    <w:p>
      <w:pPr>
        <w:pStyle w:val="Heading2"/>
        <w:spacing w:after="160" w:before="320"/>
      </w:pPr>
      <w:r>
        <w:rPr>
          <w:b/>
          <w:bCs/>
          <w:color w:val="1E56A0"/>
        </w:rPr>
        <w:t xml:space="preserve">17.2 LSTM-Based Sequence Modeling</w:t>
      </w:r>
    </w:p>
    <w:p>
      <w:pPr>
        <w:spacing w:after="200" w:line="300"/>
        <w:jc w:val="both"/>
      </w:pPr>
      <w:r>
        <w:rPr>
          <w:rFonts w:ascii="Calibri" w:cs="Calibri" w:eastAsia="Calibri" w:hAnsi="Calibri"/>
          <w:sz w:val="22"/>
          <w:szCs w:val="22"/>
        </w:rPr>
        <w:t xml:space="preserve">Long Short-Term Memory networks could model the sequential order of an entity's actions over time, capturing temporal attack patterns such as insider drift more precisely than the current snapshot-based feature set.</w:t>
      </w:r>
    </w:p>
    <w:p>
      <w:pPr>
        <w:pStyle w:val="Heading2"/>
        <w:spacing w:after="160" w:before="320"/>
      </w:pPr>
      <w:r>
        <w:rPr>
          <w:b/>
          <w:bCs/>
          <w:color w:val="1E56A0"/>
        </w:rPr>
        <w:t xml:space="preserve">17.3 Kafka-Based Streaming</w:t>
      </w:r>
    </w:p>
    <w:p>
      <w:pPr>
        <w:spacing w:after="200" w:line="300"/>
        <w:jc w:val="both"/>
      </w:pPr>
      <w:r>
        <w:rPr>
          <w:rFonts w:ascii="Calibri" w:cs="Calibri" w:eastAsia="Calibri" w:hAnsi="Calibri"/>
          <w:sz w:val="22"/>
          <w:szCs w:val="22"/>
        </w:rPr>
        <w:t xml:space="preserve">Integrating a Kafka ingestion pipeline would allow the system to score authentication events in near real time as they occur, rather than in periodic batch runs against a static CSV file.</w:t>
      </w:r>
    </w:p>
    <w:p>
      <w:pPr>
        <w:pStyle w:val="Heading2"/>
        <w:spacing w:after="160" w:before="320"/>
      </w:pPr>
      <w:r>
        <w:rPr>
          <w:b/>
          <w:bCs/>
          <w:color w:val="1E56A0"/>
        </w:rPr>
        <w:t xml:space="preserve">17.4 Docker and Kubernetes</w:t>
      </w:r>
    </w:p>
    <w:p>
      <w:pPr>
        <w:spacing w:after="200" w:line="300"/>
        <w:jc w:val="both"/>
      </w:pPr>
      <w:r>
        <w:rPr>
          <w:rFonts w:ascii="Calibri" w:cs="Calibri" w:eastAsia="Calibri" w:hAnsi="Calibri"/>
          <w:sz w:val="22"/>
          <w:szCs w:val="22"/>
        </w:rPr>
        <w:t xml:space="preserve">Containerizing the pipeline and dashboard with Docker, and orchestrating them with Kubernetes, would enable consistent, scalable deployment across development, staging, and production environments.</w:t>
      </w:r>
    </w:p>
    <w:p>
      <w:pPr>
        <w:pStyle w:val="Heading2"/>
        <w:spacing w:after="160" w:before="320"/>
      </w:pPr>
      <w:r>
        <w:rPr>
          <w:b/>
          <w:bCs/>
          <w:color w:val="1E56A0"/>
        </w:rPr>
        <w:t xml:space="preserve">17.5 Cloud Deployment</w:t>
      </w:r>
    </w:p>
    <w:p>
      <w:pPr>
        <w:spacing w:after="200" w:line="300"/>
        <w:jc w:val="both"/>
      </w:pPr>
      <w:r>
        <w:rPr>
          <w:rFonts w:ascii="Calibri" w:cs="Calibri" w:eastAsia="Calibri" w:hAnsi="Calibri"/>
          <w:sz w:val="22"/>
          <w:szCs w:val="22"/>
        </w:rPr>
        <w:t xml:space="preserve">Migrating storage and compute to a cloud provider would allow the system to scale to enterprise-sized authentication volumes and support multi-region deployment.</w:t>
      </w:r>
    </w:p>
    <w:p>
      <w:pPr>
        <w:pStyle w:val="Heading2"/>
        <w:spacing w:after="160" w:before="320"/>
      </w:pPr>
      <w:r>
        <w:rPr>
          <w:b/>
          <w:bCs/>
          <w:color w:val="1E56A0"/>
        </w:rPr>
        <w:t xml:space="preserve">17.6 Live Threat Intelligence</w:t>
      </w:r>
    </w:p>
    <w:p>
      <w:pPr>
        <w:spacing w:after="200" w:line="300"/>
        <w:jc w:val="both"/>
      </w:pPr>
      <w:r>
        <w:rPr>
          <w:rFonts w:ascii="Calibri" w:cs="Calibri" w:eastAsia="Calibri" w:hAnsi="Calibri"/>
          <w:sz w:val="22"/>
          <w:szCs w:val="22"/>
        </w:rPr>
        <w:t xml:space="preserve">Incorporating external threat intelligence feeds, such as known malicious IP reputation lists, would allow the risk-scoring methodology to incorporate signals beyond the entity's own historical behavior.</w:t>
      </w:r>
    </w:p>
    <w:p>
      <w:pPr>
        <w:pStyle w:val="Heading2"/>
        <w:spacing w:after="160" w:before="320"/>
      </w:pPr>
      <w:r>
        <w:rPr>
          <w:b/>
          <w:bCs/>
          <w:color w:val="1E56A0"/>
        </w:rPr>
        <w:t xml:space="preserve">17.7 SIEM Integration</w:t>
      </w:r>
    </w:p>
    <w:p>
      <w:pPr>
        <w:spacing w:after="200" w:line="300"/>
        <w:jc w:val="both"/>
      </w:pPr>
      <w:r>
        <w:rPr>
          <w:rFonts w:ascii="Calibri" w:cs="Calibri" w:eastAsia="Calibri" w:hAnsi="Calibri"/>
          <w:sz w:val="22"/>
          <w:szCs w:val="22"/>
        </w:rPr>
        <w:t xml:space="preserve">Exporting flagged events into platforms such as Splunk or Microsoft Sentinel would allow SentinelAI to function as an enrichment layer within an organization's existing SOC tooling, rather than as a fully standalone application.</w:t>
      </w:r>
    </w:p>
    <w:p>
      <w:r>
        <w:br w:type="page"/>
      </w:r>
    </w:p>
    <w:p>
      <w:pPr>
        <w:pStyle w:val="Heading1"/>
        <w:spacing w:after="240" w:before="480"/>
      </w:pPr>
      <w:r>
        <w:rPr>
          <w:b/>
          <w:bCs/>
          <w:color w:val="0B1E3F"/>
        </w:rPr>
        <w:t xml:space="preserve">18. Conclusion</w:t>
      </w:r>
    </w:p>
    <w:p>
      <w:pPr>
        <w:spacing w:after="200" w:line="300"/>
        <w:jc w:val="both"/>
      </w:pPr>
      <w:r>
        <w:rPr>
          <w:rFonts w:ascii="Calibri" w:cs="Calibri" w:eastAsia="Calibri" w:hAnsi="Calibri"/>
          <w:sz w:val="22"/>
          <w:szCs w:val="22"/>
        </w:rPr>
        <w:t xml:space="preserve">Honeywell SentinelAI demonstrates that meaningful, explainable anomaly detection for enterprise authentication does not require labeled attack data, proprietary infrastructure, or an intractable engineering effort. By combining realistic synthetic data generation, careful per-entity behavioral feature engineering, an unsupervised Isolation Forest model, and a transparent weighted risk-scoring methodology, the project delivers a complete pipeline from raw login event to actionable analyst decision.</w:t>
      </w:r>
    </w:p>
    <w:p>
      <w:pPr>
        <w:spacing w:after="200" w:line="300"/>
        <w:jc w:val="both"/>
      </w:pPr>
      <w:r>
        <w:rPr>
          <w:rFonts w:ascii="Calibri" w:cs="Calibri" w:eastAsia="Calibri" w:hAnsi="Calibri"/>
          <w:sz w:val="22"/>
          <w:szCs w:val="22"/>
        </w:rPr>
        <w:t xml:space="preserve">The measured results — approximately 98% overall accuracy and approximately 0.67 precision, recall, and F1 score on the anomaly class — validate that behavioral deviation is a practical and effective detection strategy, even without prior exposure to labeled attacks. Equally important, the system's explainability layer ensures that every flagged event arrives with a concrete, human-readable justification, directly addressing the alert-fatigue and context-loss problems that limit the effectiveness of traditional rule-based SIEM tooling.</w:t>
      </w:r>
    </w:p>
    <w:p>
      <w:pPr>
        <w:spacing w:after="200" w:line="300"/>
        <w:jc w:val="both"/>
      </w:pPr>
      <w:r>
        <w:rPr>
          <w:rFonts w:ascii="Calibri" w:cs="Calibri" w:eastAsia="Calibri" w:hAnsi="Calibri"/>
          <w:sz w:val="22"/>
          <w:szCs w:val="22"/>
        </w:rPr>
        <w:t xml:space="preserve">Beyond its immediate hackathon scope, the modular, file-based architecture underlying SentinelAI provides a realistic foundation for further development toward real-time streaming, deep learning-based detection, and integration with production SIEM platforms. The project reflects a broader principle that is increasingly central to modern cybersecurity engineering: that the earliest, most cost-effective point to detect compromise is often the authentication layer itself, provided the system watching it understands what normal actually looks like.</w:t>
      </w:r>
    </w:p>
    <w:p>
      <w:r>
        <w:br w:type="page"/>
      </w:r>
    </w:p>
    <w:p>
      <w:pPr>
        <w:pStyle w:val="Heading1"/>
        <w:spacing w:after="240" w:before="480"/>
      </w:pPr>
      <w:r>
        <w:rPr>
          <w:b/>
          <w:bCs/>
          <w:color w:val="0B1E3F"/>
        </w:rPr>
        <w:t xml:space="preserve">19. References</w:t>
      </w:r>
    </w:p>
    <w:p>
      <w:pPr>
        <w:pStyle w:val="ListParagraph"/>
        <w:numPr>
          <w:ilvl w:val="0"/>
          <w:numId w:val="1"/>
        </w:numPr>
        <w:spacing w:after="100"/>
      </w:pPr>
      <w:r>
        <w:rPr>
          <w:rFonts w:ascii="Calibri" w:cs="Calibri" w:eastAsia="Calibri" w:hAnsi="Calibri"/>
          <w:sz w:val="22"/>
          <w:szCs w:val="22"/>
        </w:rPr>
        <w:t xml:space="preserve">Python Software Foundation. Python Language Reference and Standard Library Documentation. https://www.python.org/</w:t>
      </w:r>
    </w:p>
    <w:p>
      <w:pPr>
        <w:pStyle w:val="ListParagraph"/>
        <w:numPr>
          <w:ilvl w:val="0"/>
          <w:numId w:val="1"/>
        </w:numPr>
        <w:spacing w:after="100"/>
      </w:pPr>
      <w:r>
        <w:rPr>
          <w:rFonts w:ascii="Calibri" w:cs="Calibri" w:eastAsia="Calibri" w:hAnsi="Calibri"/>
          <w:sz w:val="22"/>
          <w:szCs w:val="22"/>
        </w:rPr>
        <w:t xml:space="preserve">Pedregosa, F. et al. Scikit-learn: Machine Learning in Python. Journal of Machine Learning Research, and https://scikit-learn.org/</w:t>
      </w:r>
    </w:p>
    <w:p>
      <w:pPr>
        <w:pStyle w:val="ListParagraph"/>
        <w:numPr>
          <w:ilvl w:val="0"/>
          <w:numId w:val="1"/>
        </w:numPr>
        <w:spacing w:after="100"/>
      </w:pPr>
      <w:r>
        <w:rPr>
          <w:rFonts w:ascii="Calibri" w:cs="Calibri" w:eastAsia="Calibri" w:hAnsi="Calibri"/>
          <w:sz w:val="22"/>
          <w:szCs w:val="22"/>
        </w:rPr>
        <w:t xml:space="preserve">Streamlit Inc. Streamlit Documentation. https://streamlit.io/</w:t>
      </w:r>
    </w:p>
    <w:p>
      <w:pPr>
        <w:pStyle w:val="ListParagraph"/>
        <w:numPr>
          <w:ilvl w:val="0"/>
          <w:numId w:val="1"/>
        </w:numPr>
        <w:spacing w:after="100"/>
      </w:pPr>
      <w:r>
        <w:rPr>
          <w:rFonts w:ascii="Calibri" w:cs="Calibri" w:eastAsia="Calibri" w:hAnsi="Calibri"/>
          <w:sz w:val="22"/>
          <w:szCs w:val="22"/>
        </w:rPr>
        <w:t xml:space="preserve">Plotly Technologies Inc. Plotly Python Graphing Library Documentation. https://plotly.com/python/</w:t>
      </w:r>
    </w:p>
    <w:p>
      <w:pPr>
        <w:pStyle w:val="ListParagraph"/>
        <w:numPr>
          <w:ilvl w:val="0"/>
          <w:numId w:val="1"/>
        </w:numPr>
        <w:spacing w:after="100"/>
      </w:pPr>
      <w:r>
        <w:rPr>
          <w:rFonts w:ascii="Calibri" w:cs="Calibri" w:eastAsia="Calibri" w:hAnsi="Calibri"/>
          <w:sz w:val="22"/>
          <w:szCs w:val="22"/>
        </w:rPr>
        <w:t xml:space="preserve">Honeywell Hackathon Program Guidelines and Project Brief, Honeywell SentinelAI Track.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Honeywell SentinelAI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Honeywell SentinelAI - Technical Report</dc:title>
  <dc:creator>Honeywell SentinelAI Project</dc:creator>
  <dc:description>AI-Powered Behavioral Anomaly Detection for Enterprise Cybersecurity</dc:description>
  <cp:lastModifiedBy>Un-named</cp:lastModifiedBy>
  <cp:revision>1</cp:revision>
  <dcterms:created xsi:type="dcterms:W3CDTF">2026-07-26T12:02:04.958Z</dcterms:created>
  <dcterms:modified xsi:type="dcterms:W3CDTF">2026-07-26T12:02:04.984Z</dcterms:modified>
</cp:coreProperties>
</file>

<file path=docProps/custom.xml><?xml version="1.0" encoding="utf-8"?>
<Properties xmlns="http://schemas.openxmlformats.org/officeDocument/2006/custom-properties" xmlns:vt="http://schemas.openxmlformats.org/officeDocument/2006/docPropsVTypes"/>
</file>