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CF61" w14:textId="77777777" w:rsidR="00CE321A" w:rsidRPr="00CE321A" w:rsidRDefault="00CE321A" w:rsidP="00CE321A">
      <w:pPr>
        <w:rPr>
          <w:b/>
          <w:bCs/>
        </w:rPr>
      </w:pPr>
      <w:r w:rsidRPr="00CE321A">
        <w:rPr>
          <w:b/>
          <w:bCs/>
        </w:rPr>
        <w:t>Content Management in Health Care: From Policy Documents to Usable Rules</w:t>
      </w:r>
    </w:p>
    <w:p w14:paraId="7673B10C" w14:textId="77777777" w:rsidR="00CE321A" w:rsidRPr="00CE321A" w:rsidRDefault="00CE321A" w:rsidP="00CE321A">
      <w:r w:rsidRPr="00CE321A">
        <w:t>Healthcare organizations rely on written content to make decisions about payment, coding, compliance, and operations. This content includes billing policies, coding rules, clinical guidelines, payer-provider contracts, prior authorization rules, reimbursement terms, and documentation requirements. Many of these documents are stored in PDFs, manuals, spreadsheets, or contract files. They are often long, updated regularly, and reviewed by different teams. When teams interpret the same policy differently, it can cause delays, claim errors, compliance risk, and operational confusion.</w:t>
      </w:r>
    </w:p>
    <w:p w14:paraId="4F5C2061" w14:textId="77777777" w:rsidR="00CE321A" w:rsidRPr="00CE321A" w:rsidRDefault="00CE321A" w:rsidP="00CE321A">
      <w:r w:rsidRPr="00CE321A">
        <w:t>Content management in healthcare is therefore more than document storage. A useful system should help teams organize documents, summarize key points, compare old and new versions, understand the impact of changes, and convert written policy language into structured rules. This matters because even a small wording change can affect reimbursement, coding decisions, provider workflows, documentation requirements, and regulatory compliance.</w:t>
      </w:r>
    </w:p>
    <w:p w14:paraId="1C530F5E" w14:textId="368A413F" w:rsidR="00CE321A" w:rsidRPr="00CE321A" w:rsidRDefault="00CE321A" w:rsidP="00CE321A">
      <w:r w:rsidRPr="00CE321A">
        <w:t xml:space="preserve">This topic is becoming more important because administrative burden remains high, payer rules are getting more detailed, and healthcare workflows are becoming more digital. </w:t>
      </w:r>
      <w:r w:rsidR="00403AED" w:rsidRPr="00403AED">
        <w:t>The American Medical Association notes that administrative work can reduce efficiency and take time away from patient-focused work</w:t>
      </w:r>
      <w:r w:rsidR="00613544">
        <w:t xml:space="preserve"> </w:t>
      </w:r>
      <w:r w:rsidR="00A667DD">
        <w:t>(</w:t>
      </w:r>
      <w:r w:rsidR="00613544" w:rsidRPr="00CE321A">
        <w:t>American Medical Association</w:t>
      </w:r>
      <w:r w:rsidR="00A667DD">
        <w:t xml:space="preserve">, </w:t>
      </w:r>
      <w:r w:rsidR="00613544" w:rsidRPr="00CE321A">
        <w:t xml:space="preserve">n.d.). </w:t>
      </w:r>
      <w:r w:rsidR="00403AED">
        <w:t xml:space="preserve"> </w:t>
      </w:r>
      <w:r w:rsidRPr="00CE321A">
        <w:t>Payer policies may include prior authorization requirements, frequency limits, modifier rules, documentation deadlines, and exception conditions. CMS’s Interoperability and Prior Authorization final rule also shows a broader push to improve data exchange and reduce burden in prior authorization processes</w:t>
      </w:r>
      <w:r w:rsidR="00A667DD">
        <w:t xml:space="preserve"> </w:t>
      </w:r>
      <w:r w:rsidR="00A667DD" w:rsidRPr="00A667DD">
        <w:t>(Centers for Medicare &amp; Medicaid Services, 2024)</w:t>
      </w:r>
      <w:r w:rsidR="00A667DD">
        <w:t>.</w:t>
      </w:r>
    </w:p>
    <w:p w14:paraId="398152BB" w14:textId="77777777" w:rsidR="00CE321A" w:rsidRPr="00CE321A" w:rsidRDefault="00CE321A" w:rsidP="00CE321A">
      <w:r w:rsidRPr="00CE321A">
        <w:t>A major opportunity is converting written policy language into structured knowledge. For example, a sentence such as “telehealth claims for procedure code 99213 require modifier 95” can become a rule: if the procedure code is 99213 and the encounter type is telehealth, then modifier 95 is required. A rule like this can support claim validation, coding review, analytics, and software workflows. The goal is not to replace human experts, but to reduce repetitive manual review and give experts a clearer starting point.</w:t>
      </w:r>
    </w:p>
    <w:p w14:paraId="314F91A6" w14:textId="111E1F4F" w:rsidR="00CE321A" w:rsidRPr="00CE321A" w:rsidRDefault="00CE321A" w:rsidP="00CE321A">
      <w:r w:rsidRPr="00CE321A">
        <w:t xml:space="preserve">Another opportunity is document comparison. In healthcare operations, the most important information is often what </w:t>
      </w:r>
      <w:r w:rsidRPr="00CE321A">
        <w:t>changes</w:t>
      </w:r>
      <w:r w:rsidRPr="00CE321A">
        <w:t xml:space="preserve"> between two versions of a document. A new deadline, removed exception, added prior authorization requirement, or changed reimbursement </w:t>
      </w:r>
      <w:r w:rsidRPr="00CE321A">
        <w:t>conditions</w:t>
      </w:r>
      <w:r w:rsidRPr="00CE321A">
        <w:t xml:space="preserve"> can affect multiple teams. A content intelligence system can identify added content, removed content, changed rules, affected departments, risk level, and suggested next steps.</w:t>
      </w:r>
    </w:p>
    <w:p w14:paraId="54934C3E" w14:textId="77777777" w:rsidR="00CE321A" w:rsidRPr="00CE321A" w:rsidRDefault="00CE321A" w:rsidP="00CE321A">
      <w:r w:rsidRPr="00CE321A">
        <w:lastRenderedPageBreak/>
        <w:t>For Cotiviti, this topic is strategically relevant because payment accuracy, risk adjustment, quality, and healthcare analytics depend on correctly understanding complex rules. Cotiviti could explore a policy intelligence layer that ingests payer policies, coding guidelines, contracts, and clinical documents, then produces summaries, change analysis, and structured rules. This could support internal analysts, client-facing teams, payment integrity workflows, and developers who translate policy language into system logic.</w:t>
      </w:r>
    </w:p>
    <w:p w14:paraId="31E0D68B" w14:textId="3974B5B5" w:rsidR="00CE321A" w:rsidRPr="00CE321A" w:rsidRDefault="00CE321A" w:rsidP="00CE321A">
      <w:r w:rsidRPr="00CE321A">
        <w:t>There are risks. AI-generated summaries or rules can be incomplete, inaccurate, or too confident. In healthcare operations, a bad rule could lead to claim errors, inappropriate denials, compliance issues, or loss of client trust. AI should therefore be treated as an assistant, not an authority. Generated rules should include source references, be reviewed by subject matter experts, and move through approval workflows before use. ONC’s HTI-1 final rule also reflects the growing focus on transparency around algorithms and health IT when automated tools influence healthcare workflows</w:t>
      </w:r>
      <w:r w:rsidR="00A667DD">
        <w:t xml:space="preserve"> </w:t>
      </w:r>
      <w:r w:rsidR="00A667DD" w:rsidRPr="00A667DD">
        <w:t>(Office of the National Coordinator for Health Information Technology, 2024)</w:t>
      </w:r>
      <w:r w:rsidR="00A667DD">
        <w:t>.</w:t>
      </w:r>
    </w:p>
    <w:p w14:paraId="19935B2E" w14:textId="10ECB932" w:rsidR="00CE321A" w:rsidRPr="00CE321A" w:rsidRDefault="00CE321A" w:rsidP="00CE321A">
      <w:r w:rsidRPr="00CE321A">
        <w:t xml:space="preserve">The proof of concept, </w:t>
      </w:r>
      <w:proofErr w:type="spellStart"/>
      <w:r w:rsidRPr="00CE321A">
        <w:rPr>
          <w:b/>
          <w:bCs/>
        </w:rPr>
        <w:t>Vitalex</w:t>
      </w:r>
      <w:proofErr w:type="spellEnd"/>
      <w:r w:rsidRPr="00CE321A">
        <w:t xml:space="preserve">, demonstrates this idea in a practical way. Users can upload healthcare policy documents, store metadata, generate AI summaries, convert policy text into structured rules, compare two document versions, </w:t>
      </w:r>
      <w:r w:rsidR="00403AED" w:rsidRPr="00403AED">
        <w:t>export rules as JSON, pseudocode, SQL-style logic, or Python-style logic</w:t>
      </w:r>
      <w:r w:rsidRPr="00CE321A">
        <w:t>, and track approval and audit activity. The prototype is intentionally simple, but it shows the main concept: healthcare content can move from static documents into usable operational intelligence. For Cotiviti, the larger opportunity is creating a reliable bridge between written policy and the rules, workflows, and systems that support healthcare payment and operations.</w:t>
      </w:r>
    </w:p>
    <w:p w14:paraId="451DAE88" w14:textId="77777777" w:rsidR="00CE321A" w:rsidRPr="00CE321A" w:rsidRDefault="00CE321A" w:rsidP="00CE321A">
      <w:pPr>
        <w:rPr>
          <w:b/>
          <w:bCs/>
        </w:rPr>
      </w:pPr>
      <w:r w:rsidRPr="00CE321A">
        <w:rPr>
          <w:b/>
          <w:bCs/>
        </w:rPr>
        <w:t>References</w:t>
      </w:r>
    </w:p>
    <w:p w14:paraId="1EBD6170" w14:textId="77777777" w:rsidR="00CE321A" w:rsidRPr="00CE321A" w:rsidRDefault="00CE321A" w:rsidP="00CE321A">
      <w:r w:rsidRPr="00CE321A">
        <w:t xml:space="preserve">American Medical Association. (n.d.). </w:t>
      </w:r>
      <w:r w:rsidRPr="00CE321A">
        <w:rPr>
          <w:i/>
          <w:iCs/>
        </w:rPr>
        <w:t>Reducing administrative burden</w:t>
      </w:r>
      <w:r w:rsidRPr="00CE321A">
        <w:t xml:space="preserve">. </w:t>
      </w:r>
      <w:hyperlink r:id="rId4" w:tgtFrame="_new" w:history="1">
        <w:r w:rsidRPr="00CE321A">
          <w:rPr>
            <w:rStyle w:val="Hyperlink"/>
          </w:rPr>
          <w:t>https://www.ama-assn.org/practice-management/reducing-administrative-burden</w:t>
        </w:r>
      </w:hyperlink>
    </w:p>
    <w:p w14:paraId="624FCAD8" w14:textId="77777777" w:rsidR="00CE321A" w:rsidRPr="00CE321A" w:rsidRDefault="00CE321A" w:rsidP="00CE321A">
      <w:r w:rsidRPr="00CE321A">
        <w:t xml:space="preserve">Centers for Medicare &amp; Medicaid Services. (2024). </w:t>
      </w:r>
      <w:r w:rsidRPr="00CE321A">
        <w:rPr>
          <w:i/>
          <w:iCs/>
        </w:rPr>
        <w:t>CMS interoperability and prior authorization final rule CMS-0057-F</w:t>
      </w:r>
      <w:r w:rsidRPr="00CE321A">
        <w:t xml:space="preserve">. </w:t>
      </w:r>
      <w:hyperlink r:id="rId5" w:tgtFrame="_new" w:history="1">
        <w:r w:rsidRPr="00CE321A">
          <w:rPr>
            <w:rStyle w:val="Hyperlink"/>
          </w:rPr>
          <w:t>https://www.cms.gov/initiatives/burden-reduction/overview/interoperability/policies-regulations/cms-interoperability-prior-authorization-final-rule-cms-0057-f</w:t>
        </w:r>
      </w:hyperlink>
    </w:p>
    <w:p w14:paraId="3E814391" w14:textId="3A213C89" w:rsidR="004C65D0" w:rsidRDefault="00CE321A">
      <w:r w:rsidRPr="00CE321A">
        <w:t xml:space="preserve">Office of the National Coordinator for Health Information Technology. (2024). </w:t>
      </w:r>
      <w:r w:rsidRPr="00CE321A">
        <w:rPr>
          <w:i/>
          <w:iCs/>
        </w:rPr>
        <w:t>Health Data, Technology, and Interoperability: Certification Program Updates, Algorithm Transparency, and Information Sharing Final Rule</w:t>
      </w:r>
      <w:r w:rsidRPr="00CE321A">
        <w:t xml:space="preserve">. </w:t>
      </w:r>
      <w:hyperlink r:id="rId6" w:tgtFrame="_new" w:history="1">
        <w:r w:rsidRPr="00CE321A">
          <w:rPr>
            <w:rStyle w:val="Hyperlink"/>
          </w:rPr>
          <w:t>https://www.federalregister.gov/documents/2024/01/09/2023-28857/health-data-technology-and-interoperability-certification-program-updates-algorithm-transparency-and</w:t>
        </w:r>
      </w:hyperlink>
    </w:p>
    <w:sectPr w:rsidR="004C65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1A"/>
    <w:rsid w:val="00403AED"/>
    <w:rsid w:val="004973A3"/>
    <w:rsid w:val="004C65D0"/>
    <w:rsid w:val="00613544"/>
    <w:rsid w:val="00A667DD"/>
    <w:rsid w:val="00C41811"/>
    <w:rsid w:val="00CE3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528DD"/>
  <w15:chartTrackingRefBased/>
  <w15:docId w15:val="{11DBDCCC-A397-4F67-B6B3-27A4EC33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21A"/>
  </w:style>
  <w:style w:type="paragraph" w:styleId="Heading1">
    <w:name w:val="heading 1"/>
    <w:basedOn w:val="Normal"/>
    <w:next w:val="Normal"/>
    <w:link w:val="Heading1Char"/>
    <w:uiPriority w:val="9"/>
    <w:qFormat/>
    <w:rsid w:val="00CE3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1A"/>
    <w:rPr>
      <w:rFonts w:eastAsiaTheme="majorEastAsia" w:cstheme="majorBidi"/>
      <w:color w:val="272727" w:themeColor="text1" w:themeTint="D8"/>
    </w:rPr>
  </w:style>
  <w:style w:type="paragraph" w:styleId="Title">
    <w:name w:val="Title"/>
    <w:basedOn w:val="Normal"/>
    <w:next w:val="Normal"/>
    <w:link w:val="TitleChar"/>
    <w:uiPriority w:val="10"/>
    <w:qFormat/>
    <w:rsid w:val="00CE3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1A"/>
    <w:pPr>
      <w:spacing w:before="160"/>
      <w:jc w:val="center"/>
    </w:pPr>
    <w:rPr>
      <w:i/>
      <w:iCs/>
      <w:color w:val="404040" w:themeColor="text1" w:themeTint="BF"/>
    </w:rPr>
  </w:style>
  <w:style w:type="character" w:customStyle="1" w:styleId="QuoteChar">
    <w:name w:val="Quote Char"/>
    <w:basedOn w:val="DefaultParagraphFont"/>
    <w:link w:val="Quote"/>
    <w:uiPriority w:val="29"/>
    <w:rsid w:val="00CE321A"/>
    <w:rPr>
      <w:i/>
      <w:iCs/>
      <w:color w:val="404040" w:themeColor="text1" w:themeTint="BF"/>
    </w:rPr>
  </w:style>
  <w:style w:type="paragraph" w:styleId="ListParagraph">
    <w:name w:val="List Paragraph"/>
    <w:basedOn w:val="Normal"/>
    <w:uiPriority w:val="34"/>
    <w:qFormat/>
    <w:rsid w:val="00CE321A"/>
    <w:pPr>
      <w:ind w:left="720"/>
      <w:contextualSpacing/>
    </w:pPr>
  </w:style>
  <w:style w:type="character" w:styleId="IntenseEmphasis">
    <w:name w:val="Intense Emphasis"/>
    <w:basedOn w:val="DefaultParagraphFont"/>
    <w:uiPriority w:val="21"/>
    <w:qFormat/>
    <w:rsid w:val="00CE321A"/>
    <w:rPr>
      <w:i/>
      <w:iCs/>
      <w:color w:val="0F4761" w:themeColor="accent1" w:themeShade="BF"/>
    </w:rPr>
  </w:style>
  <w:style w:type="paragraph" w:styleId="IntenseQuote">
    <w:name w:val="Intense Quote"/>
    <w:basedOn w:val="Normal"/>
    <w:next w:val="Normal"/>
    <w:link w:val="IntenseQuoteChar"/>
    <w:uiPriority w:val="30"/>
    <w:qFormat/>
    <w:rsid w:val="00CE3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1A"/>
    <w:rPr>
      <w:i/>
      <w:iCs/>
      <w:color w:val="0F4761" w:themeColor="accent1" w:themeShade="BF"/>
    </w:rPr>
  </w:style>
  <w:style w:type="character" w:styleId="IntenseReference">
    <w:name w:val="Intense Reference"/>
    <w:basedOn w:val="DefaultParagraphFont"/>
    <w:uiPriority w:val="32"/>
    <w:qFormat/>
    <w:rsid w:val="00CE321A"/>
    <w:rPr>
      <w:b/>
      <w:bCs/>
      <w:smallCaps/>
      <w:color w:val="0F4761" w:themeColor="accent1" w:themeShade="BF"/>
      <w:spacing w:val="5"/>
    </w:rPr>
  </w:style>
  <w:style w:type="character" w:styleId="Hyperlink">
    <w:name w:val="Hyperlink"/>
    <w:basedOn w:val="DefaultParagraphFont"/>
    <w:uiPriority w:val="99"/>
    <w:unhideWhenUsed/>
    <w:rsid w:val="00CE321A"/>
    <w:rPr>
      <w:color w:val="467886" w:themeColor="hyperlink"/>
      <w:u w:val="single"/>
    </w:rPr>
  </w:style>
  <w:style w:type="character" w:styleId="UnresolvedMention">
    <w:name w:val="Unresolved Mention"/>
    <w:basedOn w:val="DefaultParagraphFont"/>
    <w:uiPriority w:val="99"/>
    <w:semiHidden/>
    <w:unhideWhenUsed/>
    <w:rsid w:val="00CE3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ederalregister.gov/documents/2024/01/09/2023-28857/health-data-technology-and-interoperability-certification-program-updates-algorithm-transparency-and?utm_source=chatgpt.com" TargetMode="External"/><Relationship Id="rId5" Type="http://schemas.openxmlformats.org/officeDocument/2006/relationships/hyperlink" Target="https://www.cms.gov/initiatives/burden-reduction/overview/interoperability/policies-regulations/cms-interoperability-prior-authorization-final-rule-cms-0057-f?utm_source=chatgpt.com" TargetMode="External"/><Relationship Id="rId4" Type="http://schemas.openxmlformats.org/officeDocument/2006/relationships/hyperlink" Target="https://www.ama-assn.org/practice-management/reducing-administrative-burde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Kundur</dc:creator>
  <cp:keywords/>
  <dc:description/>
  <cp:lastModifiedBy>Raj Kundur</cp:lastModifiedBy>
  <cp:revision>2</cp:revision>
  <dcterms:created xsi:type="dcterms:W3CDTF">2026-07-06T00:17:00Z</dcterms:created>
  <dcterms:modified xsi:type="dcterms:W3CDTF">2026-07-06T00:45:00Z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6696601e-0ec5-486b-80ea-b93b6ec7cea1</vt:lpwstr>
  </property>
</Properties>
</file>