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8DE" w:rsidRDefault="00D648DE">
      <w:pPr>
        <w:rPr>
          <w:rFonts w:ascii="Times" w:hAnsi="Times"/>
          <w:b/>
          <w:bCs/>
        </w:rPr>
      </w:pPr>
      <w:r>
        <w:rPr>
          <w:rFonts w:ascii="Times" w:hAnsi="Times"/>
          <w:b/>
          <w:bCs/>
        </w:rPr>
        <w:t>Title:</w:t>
      </w:r>
    </w:p>
    <w:p w:rsidR="00D648DE" w:rsidRDefault="00D648DE">
      <w:pPr>
        <w:rPr>
          <w:rFonts w:ascii="Times" w:hAnsi="Times"/>
        </w:rPr>
      </w:pPr>
      <w:r>
        <w:rPr>
          <w:rFonts w:ascii="Times" w:hAnsi="Times"/>
        </w:rPr>
        <w:t>----------</w:t>
      </w:r>
    </w:p>
    <w:p w:rsidR="00D648DE" w:rsidRPr="00D648DE" w:rsidRDefault="00D648DE">
      <w:pPr>
        <w:rPr>
          <w:rFonts w:ascii="Times" w:hAnsi="Times"/>
        </w:rPr>
      </w:pPr>
    </w:p>
    <w:p w:rsidR="006C469B" w:rsidRPr="00427AAC" w:rsidRDefault="006C469B">
      <w:pPr>
        <w:rPr>
          <w:rFonts w:ascii="Times" w:hAnsi="Times"/>
        </w:rPr>
      </w:pPr>
      <w:r w:rsidRPr="00427AAC">
        <w:rPr>
          <w:rFonts w:ascii="Times" w:hAnsi="Times"/>
          <w:b/>
          <w:bCs/>
        </w:rPr>
        <w:t>Authors</w:t>
      </w:r>
      <w:r w:rsidRPr="00427AAC">
        <w:rPr>
          <w:rFonts w:ascii="Times" w:hAnsi="Times"/>
        </w:rPr>
        <w:t>:</w:t>
      </w:r>
    </w:p>
    <w:p w:rsidR="006C469B" w:rsidRPr="00427AAC" w:rsidRDefault="006C469B">
      <w:pPr>
        <w:rPr>
          <w:rFonts w:ascii="Times" w:hAnsi="Times"/>
        </w:rPr>
      </w:pPr>
      <w:r w:rsidRPr="00427AAC">
        <w:rPr>
          <w:rFonts w:ascii="Times" w:hAnsi="Times"/>
        </w:rPr>
        <w:t>Brian M. Schilder</w:t>
      </w:r>
      <w:r w:rsidRPr="00427AAC">
        <w:rPr>
          <w:rFonts w:ascii="Times" w:hAnsi="Times"/>
          <w:vertAlign w:val="superscript"/>
        </w:rPr>
        <w:t>1,2,3</w:t>
      </w:r>
      <w:r w:rsidRPr="00427AAC">
        <w:rPr>
          <w:rFonts w:ascii="Times" w:hAnsi="Times"/>
        </w:rPr>
        <w:t>, Katia Lopes</w:t>
      </w:r>
      <w:r w:rsidRPr="00427AAC">
        <w:rPr>
          <w:rFonts w:ascii="Times" w:hAnsi="Times"/>
          <w:vertAlign w:val="superscript"/>
        </w:rPr>
        <w:t>1,2,3</w:t>
      </w:r>
      <w:r w:rsidRPr="00427AAC">
        <w:rPr>
          <w:rFonts w:ascii="Times" w:hAnsi="Times"/>
        </w:rPr>
        <w:t>, Elisa Navarro</w:t>
      </w:r>
      <w:r w:rsidRPr="00427AAC">
        <w:rPr>
          <w:rFonts w:ascii="Times" w:hAnsi="Times"/>
          <w:vertAlign w:val="superscript"/>
        </w:rPr>
        <w:t>1,2,3</w:t>
      </w:r>
      <w:r w:rsidRPr="00427AAC">
        <w:rPr>
          <w:rFonts w:ascii="Times" w:hAnsi="Times"/>
        </w:rPr>
        <w:t>, Towfique Raj</w:t>
      </w:r>
      <w:r w:rsidRPr="00427AAC">
        <w:rPr>
          <w:rFonts w:ascii="Times" w:hAnsi="Times"/>
          <w:vertAlign w:val="superscript"/>
        </w:rPr>
        <w:t>1,2,3</w:t>
      </w:r>
    </w:p>
    <w:p w:rsidR="006C469B" w:rsidRPr="00427AAC" w:rsidRDefault="006C469B">
      <w:pPr>
        <w:rPr>
          <w:rFonts w:ascii="Times" w:hAnsi="Times"/>
        </w:rPr>
      </w:pPr>
    </w:p>
    <w:p w:rsidR="006C469B" w:rsidRPr="00427AAC" w:rsidRDefault="006C469B" w:rsidP="006C469B">
      <w:pPr>
        <w:pStyle w:val="ListParagraph"/>
        <w:numPr>
          <w:ilvl w:val="0"/>
          <w:numId w:val="1"/>
        </w:numPr>
        <w:rPr>
          <w:rFonts w:ascii="Times" w:hAnsi="Times"/>
        </w:rPr>
      </w:pPr>
      <w:r w:rsidRPr="00427AAC">
        <w:rPr>
          <w:rFonts w:ascii="Times" w:hAnsi="Times"/>
        </w:rPr>
        <w:t>Department of Neuroscience, Icahn School of Medicine at Mount Sinai, New York, NY 10035</w:t>
      </w:r>
    </w:p>
    <w:p w:rsidR="006C469B" w:rsidRPr="00427AAC" w:rsidRDefault="006C469B" w:rsidP="006C469B">
      <w:pPr>
        <w:pStyle w:val="ListParagraph"/>
        <w:numPr>
          <w:ilvl w:val="0"/>
          <w:numId w:val="1"/>
        </w:numPr>
        <w:rPr>
          <w:rFonts w:ascii="Times" w:hAnsi="Times"/>
        </w:rPr>
      </w:pPr>
      <w:r w:rsidRPr="00427AAC">
        <w:rPr>
          <w:rFonts w:ascii="Times" w:hAnsi="Times"/>
        </w:rPr>
        <w:t>Department of Genetics &amp; Genomic Sciences, Icahn School of Medicine at Mount Sinai, New York, NY 10035</w:t>
      </w:r>
    </w:p>
    <w:p w:rsidR="006C469B" w:rsidRPr="00427AAC" w:rsidRDefault="006C469B" w:rsidP="006C469B">
      <w:pPr>
        <w:pStyle w:val="ListParagraph"/>
        <w:numPr>
          <w:ilvl w:val="0"/>
          <w:numId w:val="1"/>
        </w:numPr>
        <w:rPr>
          <w:rFonts w:ascii="Times" w:hAnsi="Times"/>
        </w:rPr>
      </w:pPr>
      <w:r w:rsidRPr="00427AAC">
        <w:rPr>
          <w:rFonts w:ascii="Times" w:hAnsi="Times"/>
        </w:rPr>
        <w:t>Ronald M. Loeb Center for Alzheimer’s Disease, Icahn School of Medicine at Mount Sinai, New York, NY 10035</w:t>
      </w:r>
    </w:p>
    <w:p w:rsidR="006C469B" w:rsidRPr="00427AAC" w:rsidRDefault="006C469B" w:rsidP="006C469B">
      <w:pPr>
        <w:rPr>
          <w:rFonts w:ascii="Times" w:hAnsi="Times"/>
        </w:rPr>
      </w:pPr>
    </w:p>
    <w:p w:rsidR="006C469B" w:rsidRPr="00427AAC" w:rsidRDefault="006C469B" w:rsidP="006C469B">
      <w:pPr>
        <w:rPr>
          <w:rFonts w:ascii="Times" w:hAnsi="Times"/>
        </w:rPr>
      </w:pPr>
    </w:p>
    <w:p w:rsidR="006C469B" w:rsidRPr="00427AAC" w:rsidRDefault="006C469B" w:rsidP="006C469B">
      <w:pPr>
        <w:rPr>
          <w:rFonts w:ascii="Times" w:hAnsi="Times"/>
        </w:rPr>
      </w:pPr>
    </w:p>
    <w:p w:rsidR="006C469B" w:rsidRPr="00427AAC" w:rsidRDefault="006C469B" w:rsidP="006C469B">
      <w:pPr>
        <w:rPr>
          <w:rFonts w:ascii="Times" w:hAnsi="Times"/>
        </w:rPr>
      </w:pPr>
      <w:r w:rsidRPr="00427AAC">
        <w:rPr>
          <w:rFonts w:ascii="Times" w:hAnsi="Times"/>
          <w:b/>
          <w:bCs/>
        </w:rPr>
        <w:t>Corresponding Autho</w:t>
      </w:r>
      <w:r w:rsidRPr="00427AAC">
        <w:rPr>
          <w:rFonts w:ascii="Times" w:hAnsi="Times"/>
        </w:rPr>
        <w:t>r:</w:t>
      </w:r>
    </w:p>
    <w:p w:rsidR="006C469B" w:rsidRDefault="006C469B" w:rsidP="006C469B">
      <w:pPr>
        <w:rPr>
          <w:rFonts w:ascii="Times" w:hAnsi="Times"/>
        </w:rPr>
      </w:pPr>
      <w:r w:rsidRPr="00427AAC">
        <w:rPr>
          <w:rFonts w:ascii="Times" w:hAnsi="Times"/>
        </w:rPr>
        <w:t>Brian M. Schilder</w:t>
      </w:r>
    </w:p>
    <w:p w:rsidR="00602119" w:rsidRDefault="00602119" w:rsidP="006C469B">
      <w:pPr>
        <w:rPr>
          <w:rFonts w:ascii="Times" w:hAnsi="Times"/>
        </w:rPr>
      </w:pPr>
      <w:hyperlink r:id="rId8" w:history="1">
        <w:r w:rsidRPr="003C1665">
          <w:rPr>
            <w:rStyle w:val="Hyperlink"/>
            <w:rFonts w:ascii="Times" w:hAnsi="Times"/>
          </w:rPr>
          <w:t>brian.schilder@mssm.edu</w:t>
        </w:r>
      </w:hyperlink>
    </w:p>
    <w:p w:rsidR="00602119" w:rsidRPr="00427AAC" w:rsidRDefault="00602119" w:rsidP="006C469B">
      <w:pPr>
        <w:rPr>
          <w:rFonts w:ascii="Times" w:hAnsi="Times"/>
        </w:rPr>
      </w:pPr>
      <w:r>
        <w:rPr>
          <w:rFonts w:ascii="Times" w:hAnsi="Times"/>
        </w:rPr>
        <w:t>19 E 98</w:t>
      </w:r>
      <w:r w:rsidRPr="00602119">
        <w:rPr>
          <w:rFonts w:ascii="Times" w:hAnsi="Times"/>
          <w:vertAlign w:val="superscript"/>
        </w:rPr>
        <w:t>th</w:t>
      </w:r>
      <w:r>
        <w:rPr>
          <w:rFonts w:ascii="Times" w:hAnsi="Times"/>
        </w:rPr>
        <w:t xml:space="preserve"> St, Room E6-6C</w:t>
      </w:r>
    </w:p>
    <w:p w:rsidR="006C469B" w:rsidRPr="00427AAC" w:rsidRDefault="006C469B" w:rsidP="006C469B">
      <w:pPr>
        <w:rPr>
          <w:rFonts w:ascii="Times" w:hAnsi="Times"/>
        </w:rPr>
      </w:pPr>
    </w:p>
    <w:p w:rsidR="006C469B" w:rsidRPr="00427AAC" w:rsidRDefault="006C469B" w:rsidP="006C469B">
      <w:pPr>
        <w:rPr>
          <w:rFonts w:ascii="Times" w:hAnsi="Times"/>
        </w:rPr>
      </w:pPr>
      <w:r w:rsidRPr="00427AAC">
        <w:rPr>
          <w:rFonts w:ascii="Times" w:hAnsi="Times"/>
          <w:b/>
          <w:bCs/>
        </w:rPr>
        <w:t>Keywords</w:t>
      </w:r>
      <w:r w:rsidRPr="00427AAC">
        <w:rPr>
          <w:rFonts w:ascii="Times" w:hAnsi="Times"/>
        </w:rPr>
        <w:t>:</w:t>
      </w:r>
    </w:p>
    <w:p w:rsidR="00427AAC" w:rsidRDefault="00427AAC" w:rsidP="006C469B">
      <w:pPr>
        <w:rPr>
          <w:rFonts w:ascii="Times" w:hAnsi="Times"/>
        </w:rPr>
      </w:pPr>
      <w:r w:rsidRPr="00427AAC">
        <w:rPr>
          <w:rFonts w:ascii="Times" w:hAnsi="Times"/>
        </w:rPr>
        <w:t>Parkinson’s Disease, monocytes, single-cell, networks</w:t>
      </w:r>
    </w:p>
    <w:p w:rsidR="005054EF" w:rsidRDefault="005054EF">
      <w:pPr>
        <w:rPr>
          <w:rFonts w:ascii="Times" w:hAnsi="Times"/>
        </w:rPr>
      </w:pPr>
      <w:r>
        <w:rPr>
          <w:rFonts w:ascii="Times" w:hAnsi="Times"/>
        </w:rPr>
        <w:br w:type="page"/>
      </w:r>
    </w:p>
    <w:p w:rsidR="005054EF" w:rsidRPr="00FA2E54" w:rsidRDefault="005054EF" w:rsidP="00FA2E54">
      <w:pPr>
        <w:jc w:val="center"/>
        <w:rPr>
          <w:rFonts w:ascii="Times" w:hAnsi="Times"/>
          <w:u w:val="single"/>
        </w:rPr>
      </w:pPr>
      <w:r w:rsidRPr="00FA2E54">
        <w:rPr>
          <w:rFonts w:ascii="Times" w:hAnsi="Times"/>
          <w:b/>
          <w:bCs/>
          <w:u w:val="single"/>
        </w:rPr>
        <w:lastRenderedPageBreak/>
        <w:t>Outline</w:t>
      </w:r>
    </w:p>
    <w:p w:rsidR="005054EF" w:rsidRDefault="00076054" w:rsidP="005054EF">
      <w:pPr>
        <w:pStyle w:val="ListParagraph"/>
        <w:numPr>
          <w:ilvl w:val="0"/>
          <w:numId w:val="2"/>
        </w:numPr>
        <w:rPr>
          <w:rFonts w:ascii="Times" w:hAnsi="Times"/>
          <w:b/>
          <w:bCs/>
        </w:rPr>
      </w:pPr>
      <w:r>
        <w:rPr>
          <w:rFonts w:ascii="Times" w:hAnsi="Times"/>
          <w:b/>
          <w:bCs/>
        </w:rPr>
        <w:t>Introduction</w:t>
      </w:r>
    </w:p>
    <w:p w:rsidR="00DA3E43" w:rsidRDefault="00DA3E43" w:rsidP="00076054">
      <w:pPr>
        <w:pStyle w:val="ListParagraph"/>
        <w:numPr>
          <w:ilvl w:val="1"/>
          <w:numId w:val="2"/>
        </w:numPr>
        <w:rPr>
          <w:rFonts w:ascii="Times" w:hAnsi="Times"/>
          <w:i/>
          <w:iCs/>
        </w:rPr>
      </w:pPr>
      <w:r>
        <w:rPr>
          <w:rFonts w:ascii="Times" w:hAnsi="Times"/>
          <w:i/>
          <w:iCs/>
        </w:rPr>
        <w:t>Importance of PD research and outstanding questions</w:t>
      </w:r>
    </w:p>
    <w:p w:rsidR="00520ABB" w:rsidRPr="00520ABB" w:rsidRDefault="00520ABB" w:rsidP="00520ABB">
      <w:pPr>
        <w:pStyle w:val="ListParagraph"/>
        <w:numPr>
          <w:ilvl w:val="2"/>
          <w:numId w:val="2"/>
        </w:numPr>
        <w:rPr>
          <w:rFonts w:ascii="Times" w:hAnsi="Times"/>
        </w:rPr>
      </w:pPr>
      <w:r w:rsidRPr="00520ABB">
        <w:rPr>
          <w:rFonts w:ascii="Times" w:hAnsi="Times"/>
        </w:rPr>
        <w:t>General review</w:t>
      </w:r>
      <w:r w:rsidR="002B7DD2">
        <w:rPr>
          <w:rFonts w:ascii="Times" w:hAnsi="Times"/>
        </w:rPr>
        <w:t xml:space="preserve"> of </w:t>
      </w:r>
      <w:r w:rsidR="00912325">
        <w:rPr>
          <w:rFonts w:ascii="Times" w:hAnsi="Times"/>
        </w:rPr>
        <w:t xml:space="preserve">PD </w:t>
      </w:r>
      <w:r w:rsidR="002B7DD2">
        <w:rPr>
          <w:rFonts w:ascii="Times" w:hAnsi="Times"/>
        </w:rPr>
        <w:t>prevalence</w:t>
      </w:r>
      <w:r w:rsidR="00912325">
        <w:rPr>
          <w:rFonts w:ascii="Times" w:hAnsi="Times"/>
        </w:rPr>
        <w:t xml:space="preserve">, our </w:t>
      </w:r>
      <w:r w:rsidR="002B7DD2">
        <w:rPr>
          <w:rFonts w:ascii="Times" w:hAnsi="Times"/>
        </w:rPr>
        <w:t xml:space="preserve">current state of knowledge, and </w:t>
      </w:r>
      <w:r w:rsidR="00912325">
        <w:rPr>
          <w:rFonts w:ascii="Times" w:hAnsi="Times"/>
        </w:rPr>
        <w:t xml:space="preserve">the </w:t>
      </w:r>
      <w:r w:rsidR="002B7DD2">
        <w:rPr>
          <w:rFonts w:ascii="Times" w:hAnsi="Times"/>
        </w:rPr>
        <w:t>lack of treatments</w:t>
      </w:r>
      <w:r>
        <w:rPr>
          <w:rFonts w:ascii="Times" w:hAnsi="Times"/>
        </w:rPr>
        <w:t xml:space="preserve"> </w:t>
      </w:r>
      <w:r w:rsidR="002B7DD2">
        <w:rPr>
          <w:rFonts w:ascii="Times" w:hAnsi="Times"/>
        </w:rPr>
        <w:fldChar w:fldCharType="begin" w:fldLock="1"/>
      </w:r>
      <w:r w:rsidR="002B7DD2">
        <w:rPr>
          <w:rFonts w:ascii="Times" w:hAnsi="Times"/>
        </w:rPr>
        <w:instrText>ADDIN CSL_CITATION {"citationItems":[{"id":"ITEM-1","itemData":{"DOI":"10.1016/B978-0-444-63916-5.00011-2","ISSN":"22124152","abstract":"Parkinson disease (PD) is a complex, multisystem disorder with both neurologic and systemic nonmotor manifestations. It is neurodegenerative in nature in which disordered balance, gait, and falls are universal problems that can be present at initial diagnosis, and which progress over time. Freezing of gait is a particularly debilitating feature of PD that becomes more prevalent over time with disease progression, being present in approximately 7% after 2 years of disease and 28% after 5 years. Approximately 60% of people with PD fall each year, with around 70% of fallers falling recurrently, and some recurrent fallers falling multiple times per week. Many risk factors for falls in people with PD have been identified; these include a history of falls, freezing of gait, and abnormalities in measures of balance, leg muscle strength, mobility, cognition, and fear of falling. Therapies for improving physical function and mobility include levodopa, cholinesterase inhibitors, methylphenidate, deep-brain stimulation, cuing for freezing of gait, and exercise. This chapter reviews the clinical, pathologic, and physiologic correlates of gait disturbance and falls in PD, as well as the evidence for medical and nonmedical interventions.","author":[{"dropping-particle":"","family":"Poewe","given":"Werner","non-dropping-particle":"","parse-names":false,"suffix":""},{"dropping-particle":"","family":"Seppi","given":"Klaus","non-dropping-particle":"","parse-names":false,"suffix":""},{"dropping-particle":"","family":"Tanner","given":"Caroline M.","non-dropping-particle":"","parse-names":false,"suffix":""},{"dropping-particle":"","family":"Halliday","given":"Glenda M.","non-dropping-particle":"","parse-names":false,"suffix":""},{"dropping-particle":"","family":"Brundin","given":"Patrik","non-dropping-particle":"","parse-names":false,"suffix":""},{"dropping-particle":"","family":"Volkmann","given":"Jens","non-dropping-particle":"","parse-names":false,"suffix":""},{"dropping-particle":"","family":"Schrag","given":"Anette-Eleonore","non-dropping-particle":"","parse-names":false,"suffix":""},{"dropping-particle":"","family":"Lang","given":"Anthony E.","non-dropping-particle":"","parse-names":false,"suffix":""},{"dropping-particle":"","family":"Abstract","given":"","non-dropping-particle":"","parse-names":false,"suffix":""}],"container-title":"Nature Reviews","id":"ITEM-1","issued":{"date-parts":[["2018"]]},"page":"17013","title":"Parkinson disease","type":"article-journal","volume":"3"},"uris":["http://www.mendeley.com/documents/?uuid=f8c1d77d-97e0-4c9d-a91e-5a62fd1f6acf"]}],"mendeley":{"formattedCitation":"(Poewe et al., 2018)","plainTextFormattedCitation":"(Poewe et al., 2018)"},"properties":{"noteIndex":0},"schema":"https://github.com/citation-style-language/schema/raw/master/csl-citation.json"}</w:instrText>
      </w:r>
      <w:r w:rsidR="002B7DD2">
        <w:rPr>
          <w:rFonts w:ascii="Times" w:hAnsi="Times"/>
        </w:rPr>
        <w:fldChar w:fldCharType="separate"/>
      </w:r>
      <w:r w:rsidR="002B7DD2" w:rsidRPr="002B7DD2">
        <w:rPr>
          <w:rFonts w:ascii="Times" w:hAnsi="Times"/>
          <w:noProof/>
        </w:rPr>
        <w:t>(Poewe et al., 2018)</w:t>
      </w:r>
      <w:r w:rsidR="002B7DD2">
        <w:rPr>
          <w:rFonts w:ascii="Times" w:hAnsi="Times"/>
        </w:rPr>
        <w:fldChar w:fldCharType="end"/>
      </w:r>
      <w:r w:rsidR="00912325">
        <w:rPr>
          <w:rFonts w:ascii="Times" w:hAnsi="Times"/>
        </w:rPr>
        <w:t>.</w:t>
      </w:r>
    </w:p>
    <w:p w:rsidR="00A97C3B" w:rsidRDefault="00A97C3B" w:rsidP="00076054">
      <w:pPr>
        <w:pStyle w:val="ListParagraph"/>
        <w:numPr>
          <w:ilvl w:val="1"/>
          <w:numId w:val="2"/>
        </w:numPr>
        <w:rPr>
          <w:rFonts w:ascii="Times" w:hAnsi="Times"/>
          <w:i/>
          <w:iCs/>
        </w:rPr>
      </w:pPr>
      <w:r w:rsidRPr="00A97C3B">
        <w:rPr>
          <w:rFonts w:ascii="Times" w:hAnsi="Times"/>
          <w:i/>
          <w:iCs/>
        </w:rPr>
        <w:t xml:space="preserve">Relationship between </w:t>
      </w:r>
      <w:r w:rsidR="00DE1A77">
        <w:rPr>
          <w:rFonts w:ascii="Times" w:hAnsi="Times"/>
          <w:i/>
          <w:iCs/>
        </w:rPr>
        <w:t>PD and the</w:t>
      </w:r>
      <w:r w:rsidRPr="00A97C3B">
        <w:rPr>
          <w:rFonts w:ascii="Times" w:hAnsi="Times"/>
          <w:i/>
          <w:iCs/>
        </w:rPr>
        <w:t xml:space="preserve"> immune system (specifically monocytes):</w:t>
      </w:r>
    </w:p>
    <w:p w:rsidR="00B66228" w:rsidRPr="00B66228" w:rsidRDefault="00E71768" w:rsidP="00E71768">
      <w:pPr>
        <w:pStyle w:val="ListParagraph"/>
        <w:numPr>
          <w:ilvl w:val="2"/>
          <w:numId w:val="2"/>
        </w:numPr>
        <w:rPr>
          <w:rFonts w:ascii="Times" w:hAnsi="Times"/>
          <w:i/>
          <w:iCs/>
        </w:rPr>
      </w:pPr>
      <w:r w:rsidRPr="00E71768">
        <w:rPr>
          <w:rFonts w:ascii="Times" w:hAnsi="Times"/>
        </w:rPr>
        <w:t xml:space="preserve">PD </w:t>
      </w:r>
      <w:r>
        <w:rPr>
          <w:rFonts w:ascii="Times" w:hAnsi="Times"/>
        </w:rPr>
        <w:t xml:space="preserve">research has implicated a causal role of the immune system </w:t>
      </w:r>
      <w:r>
        <w:rPr>
          <w:rFonts w:ascii="Times" w:hAnsi="Times"/>
        </w:rPr>
        <w:fldChar w:fldCharType="begin" w:fldLock="1"/>
      </w:r>
      <w:r>
        <w:rPr>
          <w:rFonts w:ascii="Times" w:hAnsi="Times"/>
        </w:rPr>
        <w:instrText>ADDIN CSL_CITATION {"citationItems":[{"id":"ITEM-1","itemData":{"DOI":"10.1016/S1474-4422(09)70062-6","ISSN":"14744422","abstract":"Parkinson's disease is characterised by a slow and progressive degeneration of dopaminergic neurons in the substantia nigra. Despite intensive research, the cause of the neuronal loss in Parkinson's disease is poorly understood. Neuroinflammatory mechanisms might contribute to the cascade of events leading to neuronal degeneration. In this Review, we describe the evidence for neuroinflammatory processes from post-mortem and in vivo studies in Parkinson's disease. We further identify the cellular and molecular events associated with neuroinflammation that are involved in the degeneration of dopaminergic neurons in animal models of the disease. Overall, available data support the importance of non-cell-autonomous pathological mechanisms in Parkinson's disease, which are mostly mediated by activated glial and peripheral immune cells. This cellular response to neurodegeneration triggers deleterious events (eg, oxidative stress and cytokine-receptor-mediated apoptosis), which might eventually lead to dopaminergic cell death and hence disease progression. Finally, we highlight possible therapeutic strategies (including immunomodulatory drugs and therapeutic immunisation) aimed at downregulating these inflammatory processes that might be important to slow the progression of Parkinson's disease. © 2009 Elsevier Ltd. All rights reserved.","author":[{"dropping-particle":"","family":"Hirsch","given":"Etienne C.","non-dropping-particle":"","parse-names":false,"suffix":""},{"dropping-particle":"","family":"Hunot","given":"Stéphane","non-dropping-particle":"","parse-names":false,"suffix":""}],"container-title":"The Lancet Neurology","id":"ITEM-1","issue":"4","issued":{"date-parts":[["2009"]]},"page":"382-397","title":"Neuroinflammation in Parkinson's disease: a target for neuroprotection?","type":"article-journal","volume":"8"},"uris":["http://www.mendeley.com/documents/?uuid=bd7b9aaa-33d2-4087-b483-088314616c45"]}],"mendeley":{"formattedCitation":"(Hirsch &amp; Hunot, 2009)","plainTextFormattedCitation":"(Hirsch &amp; Hunot, 2009)","previouslyFormattedCitation":"(Hirsch &amp; Hunot, 2009)"},"properties":{"noteIndex":0},"schema":"https://github.com/citation-style-language/schema/raw/master/csl-citation.json"}</w:instrText>
      </w:r>
      <w:r>
        <w:rPr>
          <w:rFonts w:ascii="Times" w:hAnsi="Times"/>
        </w:rPr>
        <w:fldChar w:fldCharType="separate"/>
      </w:r>
      <w:r w:rsidRPr="00E71768">
        <w:rPr>
          <w:rFonts w:ascii="Times" w:hAnsi="Times"/>
          <w:noProof/>
        </w:rPr>
        <w:t>(Hirsch &amp; Hunot, 2009)</w:t>
      </w:r>
      <w:r>
        <w:rPr>
          <w:rFonts w:ascii="Times" w:hAnsi="Times"/>
        </w:rPr>
        <w:fldChar w:fldCharType="end"/>
      </w:r>
      <w:r>
        <w:rPr>
          <w:rFonts w:ascii="Times" w:hAnsi="Times"/>
        </w:rPr>
        <w:t xml:space="preserve">. </w:t>
      </w:r>
    </w:p>
    <w:p w:rsidR="001E254C" w:rsidRDefault="00E71768" w:rsidP="0046270C">
      <w:pPr>
        <w:pStyle w:val="ListParagraph"/>
        <w:numPr>
          <w:ilvl w:val="3"/>
          <w:numId w:val="2"/>
        </w:numPr>
        <w:rPr>
          <w:rFonts w:ascii="Times" w:hAnsi="Times"/>
          <w:i/>
          <w:iCs/>
        </w:rPr>
      </w:pPr>
      <w:r>
        <w:rPr>
          <w:rFonts w:ascii="Times" w:hAnsi="Times"/>
        </w:rPr>
        <w:t>PD GWAS gene hits support thi</w:t>
      </w:r>
      <w:r w:rsidR="00B66228">
        <w:rPr>
          <w:rFonts w:ascii="Times" w:hAnsi="Times"/>
        </w:rPr>
        <w:t>s</w:t>
      </w:r>
      <w:r>
        <w:rPr>
          <w:rFonts w:ascii="Times" w:hAnsi="Times"/>
        </w:rPr>
        <w:t xml:space="preserve"> </w:t>
      </w:r>
      <w:r>
        <w:rPr>
          <w:rFonts w:ascii="Times" w:hAnsi="Times"/>
        </w:rPr>
        <w:fldChar w:fldCharType="begin" w:fldLock="1"/>
      </w:r>
      <w:r w:rsidR="002B7DD2">
        <w:rPr>
          <w:rFonts w:ascii="Times" w:hAnsi="Times"/>
        </w:rPr>
        <w:instrText>ADDIN CSL_CITATION {"citationItems":[{"id":"ITEM-1","itemData":{"author":[{"dropping-particle":"","family":"Nalls","given":"Mike A.","non-dropping-particle":"","parse-names":false,"suffix":""},{"dropping-particle":"","family":"Blauwendraat","given":"Cornelis","non-dropping-particle":"","parse-names":false,"suffix":""},{"dropping-particle":"","family":"Vallerga","given":"Costanza L.","non-dropping-particle":"","parse-names":false,"suffix":""},{"dropping-particle":"","family":"Heilbron","given":"Karl","non-dropping-particle":"","parse-names":false,"suffix":""},{"dropping-particle":"","family":"Bandres-Ciga","given":"Sara","non-dropping-particle":"","parse-names":false,"suffix":""},{"dropping-particle":"","family":"Chang","given":"Diana","non-dropping-particle":"","parse-names":false,"suffix":""},{"dropping-particle":"","family":"Tan","given":"Manuela","non-dropping-particle":"","parse-names":false,"suffix":""},{"dropping-particle":"","family":"Kia","given":"Demis A.","non-dropping-particle":"","parse-names":false,"suffix":""},{"dropping-particle":"","family":"Noyce","given":"Alastair J.","non-dropping-particle":"","parse-names":false,"suffix":""},{"dropping-particle":"","family":"Xue","given":"Angli","non-dropping-particle":"","parse-names":false,"suffix":""},{"dropping-particle":"","family":"Bras","given":"Jose","non-dropping-particle":"","parse-names":false,"suffix":""},{"dropping-particle":"","family":"Young","given":"Emily","non-dropping-particle":"","parse-names":false,"suffix":""},{"dropping-particle":"von","family":"Coelln","given":"Rainer","non-dropping-particle":"","parse-names":false,"suffix":""},{"dropping-particle":"","family":"Simón-Sánchez","given":"Javier","non-dropping-particle":"","parse-names":false,"suffix":""},{"dropping-particle":"","family":"Schulte","given":"Claudia","non-dropping-particle":"","parse-names":false,"suffix":""},{"dropping-particle":"","family":"Sharma","given":"Manu","non-dropping-particle":"","parse-names":false,"suffix":""},{"dropping-particle":"","family":"Krohn","given":"Lynne","non-dropping-particle":"","parse-names":false,"suffix":""},{"dropping-particle":"","family":"Pihlstrom","given":"Lasse","non-dropping-particle":"","parse-names":false,"suffix":""},{"dropping-particle":"","family":"Siitonen","given":"Ari","non-dropping-particle":"","parse-names":false,"suffix":""},{"dropping-particle":"","family":"Iwaki","given":"Hirotaka","non-dropping-particle":"","parse-names":false,"suffix":""},{"dropping-particle":"","family":"Leonard","given":"Hampton","non-dropping-particle":"","parse-names":false,"suffix":""},{"dropping-particle":"","family":"Faghri","given":"Faraz","non-dropping-particle":"","parse-names":false,"suffix":""},{"dropping-particle":"","family":"Gibbs","given":"J. Raphael","non-dropping-particle":"","parse-names":false,"suffix":""},{"dropping-particle":"","family":"Hernandez","given":"Dena G.","non-dropping-particle":"","parse-names":false,"suffix":""},{"dropping-particle":"","family":"Scholz2","given":"Sonja W.","non-dropping-particle":"","parse-names":false,"suffix":""},{"dropping-particle":"","family":"Botia","given":"Juan A.","non-dropping-particle":"","parse-names":false,"suffix":""},{"dropping-particle":"","family":"Martinez","given":"Maria","non-dropping-particle":"","parse-names":false,"suffix":""},{"dropping-particle":"","family":"Corvol","given":"Jean-Christophe","non-dropping-particle":"","parse-names":false,"suffix":""},{"dropping-particle":"","family":"Lesage","given":"Suzanne","non-dropping-particle":"","parse-names":false,"suffix":""},{"dropping-particle":"","family":"Jankovic","given":"Joseph","non-dropping-particle":"","parse-names":false,"suffix":""},{"dropping-particle":"","family":"Shulman","given":"Lisa M.","non-dropping-particle":"","parse-names":false,"suffix":""},{"dropping-particle":"","family":"The 23andMe Research Team","given":"","non-dropping-particle":"","parse-names":false,"suffix":""},{"dropping-particle":"","family":"System Genomics of Parkinson's Disease (SGPD) Consortium","given":"","non-dropping-particle":"","parse-names":false,"suffix":""},{"dropping-particle":"","family":"Sutherland","given":"Margaret","non-dropping-particle":"","parse-names":false,"suffix":""},{"dropping-particle":"","family":"Tienari","given":"Pentti","non-dropping-particle":"","parse-names":false,"suffix":""},{"dropping-particle":"","family":"Majamaa","given":"Kari","non-dropping-particle":"","parse-names":false,"suffix":""},{"dropping-particle":"","family":"Toft","given":"Mathias","non-dropping-particle":"","parse-names":false,"suffix":""},{"dropping-particle":"","family":"Andreassen","given":"Ole A.","non-dropping-particle":"","parse-names":false,"suffix":""},{"dropping-particle":"","family":"Bangale","given":"Tushar","non-dropping-particle":"","parse-names":false,"suffix":""},{"dropping-particle":"","family":"Brice","given":"Alexis","non-dropping-particle":"","parse-names":false,"suffix":""},{"dropping-particle":"","family":"Yang","given":"Jian","non-dropping-particle":"","parse-names":false,"suffix":""},{"dropping-particle":"","family":"Gan-Or","given":"Ziv","non-dropping-particle":"","parse-names":false,"suffix":""},{"dropping-particle":"","family":"Gass","given":"Thomas","non-dropping-particle":"","parse-names":false,"suffix":""},{"dropping-particle":"","family":"Andrew B. Singleton for the International Parkinson’s Disease Genomics Consortium","given":"","non-dropping-particle":"","parse-names":false,"suffix":""}],"container-title":"BioaRxiv","id":"ITEM-1","issued":{"date-parts":[["2018"]]},"title":"Expanding Parkinson’s disease genetics: novel risk loci, genomic context, causal insights and heritable risk","type":"article-journal"},"uris":["http://www.mendeley.com/documents/?uuid=22188b69-c90b-4098-a535-b2cef7189c79"]},{"id":"ITEM-2","itemData":{"DOI":"10.1038/ng.3043","ISSN":"15461718","abstract":"Nature Genetics 46, 989 (2014). doi:10.1038/ng.3043","author":[{"dropping-particle":"","family":"Nalls","given":"Mike A.","non-dropping-particle":"","parse-names":false,"suffix":""},{"dropping-particle":"","family":"Pankratz","given":"Nathan","non-dropping-particle":"","parse-names":false,"suffix":""},{"dropping-particle":"","family":"Lill","given":"Christina M.","non-dropping-particle":"","parse-names":false,"suffix":""},{"dropping-particle":"","family":"Do","given":"Chuong B.","non-dropping-particle":"","parse-names":false,"suffix":""},{"dropping-particle":"","family":"Hernandez","given":"Dena G.","non-dropping-particle":"","parse-names":false,"suffix":""},{"dropping-particle":"","family":"Saad","given":"Mohamad","non-dropping-particle":"","parse-names":false,"suffix":""},{"dropping-particle":"","family":"Destefano","given":"Anita L.","non-dropping-particle":"","parse-names":false,"suffix":""},{"dropping-particle":"","family":"Kara","given":"Eleanna","non-dropping-particle":"","parse-names":false,"suffix":""},{"dropping-particle":"","family":"Bras","given":"Jose","non-dropping-particle":"","parse-names":false,"suffix":""},{"dropping-particle":"","family":"Sharma","given":"Manu","non-dropping-particle":"","parse-names":false,"suffix":""},{"dropping-particle":"","family":"Schulte","given":"Claudia","non-dropping-particle":"","parse-names":false,"suffix":""},{"dropping-particle":"","family":"Keller","given":"Margaux F.","non-dropping-particle":"","parse-names":false,"suffix":""},{"dropping-particle":"","family":"Arepalli","given":"Sampath","non-dropping-particle":"","parse-names":false,"suffix":""},{"dropping-particle":"","family":"Letson","given":"Christopher","non-dropping-particle":"","parse-names":false,"suffix":""},{"dropping-particle":"","family":"Edsall","given":"Connor","non-dropping-particle":"","parse-names":false,"suffix":""},{"dropping-particle":"","family":"Stefansson","given":"Hreinn","non-dropping-particle":"","parse-names":false,"suffix":""},{"dropping-particle":"","family":"Liu","given":"Xinmin","non-dropping-particle":"","parse-names":false,"suffix":""},{"dropping-particle":"","family":"Pliner","given":"Hannah","non-dropping-particle":"","parse-names":false,"suffix":""},{"dropping-particle":"","family":"Lee","given":"Joseph H.","non-dropping-particle":"","parse-names":false,"suffix":""},{"dropping-particle":"","family":"Cheng","given":"Rong","non-dropping-particle":"","parse-names":false,"suffix":""},{"dropping-particle":"","family":"Ikram","given":"M. Arfan","non-dropping-particle":"","parse-names":false,"suffix":""},{"dropping-particle":"","family":"Ioannidis","given":"John P.A.","non-dropping-particle":"","parse-names":false,"suffix":""},{"dropping-particle":"","family":"Hadjigeorgiou","given":"Georgios M.","non-dropping-particle":"","parse-names":false,"suffix":""},{"dropping-particle":"","family":"Bis","given":"Joshua C.","non-dropping-particle":"","parse-names":false,"suffix":""},{"dropping-particle":"","family":"Martinez","given":"Maria","non-dropping-particle":"","parse-names":false,"suffix":""},{"dropping-particle":"","family":"Perlmutter","given":"Joel S.","non-dropping-particle":"","parse-names":false,"suffix":""},{"dropping-particle":"","family":"Goate","given":"Alison","non-dropping-particle":"","parse-names":false,"suffix":""},{"dropping-particle":"","family":"Marder","given":"Karen","non-dropping-particle":"","parse-names":false,"suffix":""},{"dropping-particle":"","family":"Fiske","given":"Brian","non-dropping-particle":"","parse-names":false,"suffix":""},{"dropping-particle":"","family":"Sutherland","given":"Margaret","non-dropping-particle":"","parse-names":false,"suffix":""},{"dropping-particle":"","family":"Xiromerisiou","given":"Georgia","non-dropping-particle":"","parse-names":false,"suffix":""},{"dropping-particle":"","family":"Myers","given":"Richard H.","non-dropping-particle":"","parse-names":false,"suffix":""},{"dropping-particle":"","family":"Clark","given":"Lorraine N.","non-dropping-particle":"","parse-names":false,"suffix":""},{"dropping-particle":"","family":"Stefansson","given":"Kari","non-dropping-particle":"","parse-names":false,"suffix":""},{"dropping-particle":"","family":"Hardy","given":"John A.","non-dropping-particle":"","parse-names":false,"suffix":""},{"dropping-particle":"","family":"Heutink","given":"Peter","non-dropping-particle":"","parse-names":false,"suffix":""},{"dropping-particle":"","family":"Chen","given":"Honglei","non-dropping-particle":"","parse-names":false,"suffix":""},{"dropping-particle":"","family":"Wood","given":"Nicholas W.","non-dropping-particle":"","parse-names":false,"suffix":""},{"dropping-particle":"","family":"Houlden","given":"Henry","non-dropping-particle":"","parse-names":false,"suffix":""},{"dropping-particle":"","family":"Payami","given":"Haydeh","non-dropping-particle":"","parse-names":false,"suffix":""},{"dropping-particle":"","family":"Brice","given":"Alexis","non-dropping-particle":"","parse-names":false,"suffix":""},{"dropping-particle":"","family":"Scott","given":"William K.","non-dropping-particle":"","parse-names":false,"suffix":""},{"dropping-particle":"","family":"Gasser","given":"Thomas","non-dropping-particle":"","parse-names":false,"suffix":""},{"dropping-particle":"","family":"Bertram","given":"Lars","non-dropping-particle":"","parse-names":false,"suffix":""},{"dropping-particle":"","family":"Eriksson","given":"Nicholas","non-dropping-particle":"","parse-names":false,"suffix":""},{"dropping-particle":"","family":"Foroud","given":"Tatiana","non-dropping-particle":"","parse-names":false,"suffix":""},{"dropping-particle":"","family":"Singleton","given":"Andrew B.","non-dropping-particle":"","parse-names":false,"suffix":""}],"container-title":"Nature Genetics","id":"ITEM-2","issue":"9","issued":{"date-parts":[["2014"]]},"page":"989-993","publisher":"Nature Publishing Group","title":"Large-scale meta-analysis of genome-wide association data identifies six new risk loci for Parkinson's disease","type":"article-journal","volume":"46"},"uris":["http://www.mendeley.com/documents/?uuid=8c84a9ed-d3b0-40a5-ab64-16b6c6854c55"]},{"id":"ITEM-3","itemData":{"DOI":"10.1038/ng.3955","ISBN":"11:83544472","ISSN":"15461718","PMID":"28892059","abstract":"Robert Graham and colleagues carried out a GWAS meta-analysis for Parkinson's disease (PD) and report 17 new risk loci. Their analyses support a key role for autophagy and lysosomal biology in PD risk.","author":[{"dropping-particle":"","family":"Chang","given":"Diana","non-dropping-particle":"","parse-names":false,"suffix":""},{"dropping-particle":"","family":"Nalls","given":"Mike A.","non-dropping-particle":"","parse-names":false,"suffix":""},{"dropping-particle":"","family":"Hallgrímsdottir","given":"Ingileif B.","non-dropping-particle":"","parse-names":false,"suffix":""},{"dropping-particle":"","family":"Hunkapiller","given":"Julie","non-dropping-particle":"","parse-names":false,"suffix":""},{"dropping-particle":"","family":"Brug","given":"Marcel","non-dropping-particle":"Van Der","parse-names":false,"suffix":""},{"dropping-particle":"","family":"Cai","given":"Fang","non-dropping-particle":"","parse-names":false,"suffix":""},{"dropping-particle":"","family":"Kerchner","given":"Geoffrey A.","non-dropping-particle":"","parse-names":false,"suffix":""},{"dropping-particle":"","family":"Ayalon","given":"Gai","non-dropping-particle":"","parse-names":false,"suffix":""},{"dropping-particle":"","family":"Bingol","given":"Baris","non-dropping-particle":"","parse-names":false,"suffix":""},{"dropping-particle":"","family":"Sheng","given":"Morgan","non-dropping-particle":"","parse-names":false,"suffix":""},{"dropping-particle":"","family":"Hinds","given":"David","non-dropping-particle":"","parse-names":false,"suffix":""},{"dropping-particle":"","family":"Behrens","given":"Timothy W.","non-dropping-particle":"","parse-names":false,"suffix":""},{"dropping-particle":"","family":"Singleton","given":"Andrew B.","non-dropping-particle":"","parse-names":false,"suffix":""},{"dropping-particle":"","family":"Bhangale","given":"Tushar R.","non-dropping-particle":"","parse-names":false,"suffix":""},{"dropping-particle":"","family":"Graham","given":"Robert R.","non-dropping-particle":"","parse-names":false,"suffix":""}],"container-title":"Nature Genetics","id":"ITEM-3","issue":"10","issued":{"date-parts":[["2017"]]},"page":"1511-1516","publisher":"Nature Publishing Group","title":"A meta-analysis of genome-wide association studies identifies 17 new Parkinson's disease risk loci","type":"article-journal","volume":"49"},"uris":["http://www.mendeley.com/documents/?uuid=fb888180-868e-471d-b591-29b34261a7a0"]}],"mendeley":{"formattedCitation":"(Chang et al., 2017; M. A. Nalls et al., 2018, 2014)","plainTextFormattedCitation":"(Chang et al., 2017; M. A. Nalls et al., 2018, 2014)","previouslyFormattedCitation":"(Chang et al., 2017; M. A. Nalls et al., 2018, 2014)"},"properties":{"noteIndex":0},"schema":"https://github.com/citation-style-language/schema/raw/master/csl-citation.json"}</w:instrText>
      </w:r>
      <w:r>
        <w:rPr>
          <w:rFonts w:ascii="Times" w:hAnsi="Times"/>
        </w:rPr>
        <w:fldChar w:fldCharType="separate"/>
      </w:r>
      <w:r w:rsidRPr="00E71768">
        <w:rPr>
          <w:rFonts w:ascii="Times" w:hAnsi="Times"/>
          <w:noProof/>
        </w:rPr>
        <w:t>(Chang et al., 2017; M. A. Nalls et al., 2018, 2014)</w:t>
      </w:r>
      <w:r>
        <w:rPr>
          <w:rFonts w:ascii="Times" w:hAnsi="Times"/>
        </w:rPr>
        <w:fldChar w:fldCharType="end"/>
      </w:r>
      <w:r>
        <w:rPr>
          <w:rFonts w:ascii="Times" w:hAnsi="Times"/>
        </w:rPr>
        <w:t xml:space="preserve"> </w:t>
      </w:r>
    </w:p>
    <w:p w:rsidR="00A97C3B" w:rsidRPr="00A97C3B" w:rsidRDefault="00A97C3B" w:rsidP="00A97C3B">
      <w:pPr>
        <w:pStyle w:val="ListParagraph"/>
        <w:numPr>
          <w:ilvl w:val="2"/>
          <w:numId w:val="2"/>
        </w:numPr>
        <w:rPr>
          <w:rFonts w:ascii="Times" w:hAnsi="Times"/>
          <w:i/>
          <w:iCs/>
        </w:rPr>
      </w:pPr>
      <w:r>
        <w:rPr>
          <w:rFonts w:ascii="Times" w:hAnsi="Times"/>
          <w:i/>
          <w:iCs/>
        </w:rPr>
        <w:fldChar w:fldCharType="begin" w:fldLock="1"/>
      </w:r>
      <w:r>
        <w:rPr>
          <w:rFonts w:ascii="Times" w:hAnsi="Times"/>
          <w:i/>
          <w:iCs/>
        </w:rPr>
        <w:instrText>ADDIN CSL_CITATION {"citationItems":[{"id":"ITEM-1","itemData":{"DOI":"10.1007/s00401-014-1345-4","ISBN":"0001-6322","ISSN":"14320533","PMID":"25284487","abstract":"Despite extensive effort on studying inflammatory processes in the CNS of Parkinson's disease (PD) patients, implications of peripheral monocytes are still poorly understood. Here, we set out to obtain a comprehensive picture of circulating myeloid cells in PD patients. We applied a human primary monocyte culture system and flow cytometry-based techniques to determine the state of monocytes from PD patients during disease. We found that the classical monocytes are enriched in the blood of PD patients along with an increase in the monocyte-recruiting chemoattractant protein CCL2. Moreover, we found that monocytes from PD patients display a pathological hyperactivity in response to LPS stimulation that correlates with disease severity. Inflammatory pre-conditioning was also reflected on the transcriptome in PD monocytes using next-generation sequencing. Further, we identified the CD95/CD95L as a key regulator for the PD-associated alteration of circulating monocytes. Pharmacological neutralization of CD95L reverses the dysregulation of monocytic subpopulations in favor of non-classical monocytes. Our results suggest that PD monocytes are in an inflammatory predisposition responding with hyperactivation to a \"second hit\". These results provide the first direct evidence that circulating human peripheral blood monocytes are altered in terms of their function and composition in PD patients. This study provides insights into monocyte biology in PD and establishes a basis for future studies on peripheral inflammation.","author":[{"dropping-particle":"","family":"Grozdanov","given":"Veselin","non-dropping-particle":"","parse-names":false,"suffix":""},{"dropping-particle":"","family":"Bliederhaeuser","given":"Corinna","non-dropping-particle":"","parse-names":false,"suffix":""},{"dropping-particle":"","family":"Ruf","given":"Wolfgang P.","non-dropping-particle":"","parse-names":false,"suffix":""},{"dropping-particle":"","family":"Roth","given":"Valerie","non-dropping-particle":"","parse-names":false,"suffix":""},{"dropping-particle":"","family":"Fundel-Clemens","given":"Kathrin","non-dropping-particle":"","parse-names":false,"suffix":""},{"dropping-particle":"","family":"Zondler","given":"Lisa","non-dropping-particle":"","parse-names":false,"suffix":""},{"dropping-particle":"","family":"Brenner","given":"David","non-dropping-particle":"","parse-names":false,"suffix":""},{"dropping-particle":"","family":"Martin-Villalba","given":"Ana","non-dropping-particle":"","parse-names":false,"suffix":""},{"dropping-particle":"","family":"Hengerer","given":"Bastian","non-dropping-particle":"","parse-names":false,"suffix":""},{"dropping-particle":"","family":"Kassubek","given":"Jan","non-dropping-particle":"","parse-names":false,"suffix":""},{"dropping-particle":"","family":"Ludolph","given":"Albert C.","non-dropping-particle":"","parse-names":false,"suffix":""},{"dropping-particle":"","family":"Weishaupt","given":"Jochen H.","non-dropping-particle":"","parse-names":false,"suffix":""},{"dropping-particle":"","family":"Danzer","given":"Karin M.","non-dropping-particle":"","parse-names":false,"suffix":""}],"container-title":"Acta Neuropathologica","id":"ITEM-1","issue":"5","issued":{"date-parts":[["2014"]]},"page":"651-663","title":"Inflammatory dysregulation of blood monocytes in Parkinson’s disease patients","type":"article-journal","volume":"128"},"uris":["http://www.mendeley.com/documents/?uuid=3094e9d9-4142-40d4-b15f-6305c5f241c6"]}],"mendeley":{"formattedCitation":"(Grozdanov et al., 2014)","plainTextFormattedCitation":"(Grozdanov et al., 2014)","previouslyFormattedCitation":"(Grozdanov et al., 2014)"},"properties":{"noteIndex":0},"schema":"https://github.com/citation-style-language/schema/raw/master/csl-citation.json"}</w:instrText>
      </w:r>
      <w:r>
        <w:rPr>
          <w:rFonts w:ascii="Times" w:hAnsi="Times"/>
          <w:i/>
          <w:iCs/>
        </w:rPr>
        <w:fldChar w:fldCharType="separate"/>
      </w:r>
      <w:r w:rsidRPr="00A97C3B">
        <w:rPr>
          <w:rFonts w:ascii="Times" w:hAnsi="Times"/>
          <w:iCs/>
          <w:noProof/>
        </w:rPr>
        <w:t>(Grozdanov et al., 2014)</w:t>
      </w:r>
      <w:r>
        <w:rPr>
          <w:rFonts w:ascii="Times" w:hAnsi="Times"/>
          <w:i/>
          <w:iCs/>
        </w:rPr>
        <w:fldChar w:fldCharType="end"/>
      </w:r>
    </w:p>
    <w:p w:rsidR="00A97C3B" w:rsidRPr="00A97C3B" w:rsidRDefault="00A97C3B" w:rsidP="00A97C3B">
      <w:pPr>
        <w:pStyle w:val="ListParagraph"/>
        <w:numPr>
          <w:ilvl w:val="3"/>
          <w:numId w:val="2"/>
        </w:numPr>
        <w:rPr>
          <w:rFonts w:ascii="Times" w:hAnsi="Times"/>
          <w:i/>
          <w:iCs/>
        </w:rPr>
      </w:pPr>
      <w:r>
        <w:rPr>
          <w:rFonts w:ascii="Times" w:hAnsi="Times"/>
        </w:rPr>
        <w:t>PD monocytes show excessive and sustained response.</w:t>
      </w:r>
    </w:p>
    <w:p w:rsidR="00A97C3B" w:rsidRPr="00A97C3B" w:rsidRDefault="00A97C3B" w:rsidP="00A97C3B">
      <w:pPr>
        <w:pStyle w:val="ListParagraph"/>
        <w:numPr>
          <w:ilvl w:val="3"/>
          <w:numId w:val="2"/>
        </w:numPr>
        <w:rPr>
          <w:rStyle w:val="FootnoteReference"/>
          <w:rFonts w:ascii="Times" w:hAnsi="Times"/>
          <w:i/>
          <w:iCs/>
          <w:vertAlign w:val="baseline"/>
        </w:rPr>
      </w:pPr>
      <w:r>
        <w:rPr>
          <w:rFonts w:ascii="Times" w:hAnsi="Times"/>
        </w:rPr>
        <w:t>Distinguished between classical vs. non-classical.</w:t>
      </w:r>
    </w:p>
    <w:p w:rsidR="006E3F9D" w:rsidRDefault="00AB37E3" w:rsidP="00A97C3B">
      <w:pPr>
        <w:pStyle w:val="ListParagraph"/>
        <w:numPr>
          <w:ilvl w:val="2"/>
          <w:numId w:val="2"/>
        </w:numPr>
        <w:rPr>
          <w:rFonts w:ascii="Times" w:hAnsi="Times"/>
        </w:rPr>
      </w:pPr>
      <w:r w:rsidRPr="006E3F9D">
        <w:rPr>
          <w:rStyle w:val="FootnoteReference"/>
          <w:rFonts w:ascii="Times" w:hAnsi="Times"/>
        </w:rPr>
        <w:fldChar w:fldCharType="begin" w:fldLock="1"/>
      </w:r>
      <w:r w:rsidRPr="006E3F9D">
        <w:rPr>
          <w:rFonts w:ascii="Times" w:hAnsi="Times"/>
        </w:rPr>
        <w:instrText>ADDIN CSL_CITATION {"citationItems":[{"id":"ITEM-1","itemData":{"DOI":"10.1002/mds.27815","ISSN":"0885-3185","author":[{"dropping-particle":"","family":"Nissen","given":"Sara Konstantin","non-dropping-particle":"","parse-names":false,"suffix":""},{"dropping-particle":"","family":"Shrivastava","given":"Kalpana","non-dropping-particle":"","parse-names":false,"suffix":""},{"dropping-particle":"","family":"Schulte","given":"Claudia","non-dropping-particle":"","parse-names":false,"suffix":""},{"dropping-particle":"","family":"Otzen","given":"Daniel Erik","non-dropping-particle":"","parse-names":false,"suffix":""},{"dropping-particle":"","family":"Goldeck","given":"David","non-dropping-particle":"","parse-names":false,"suffix":""},{"dropping-particle":"","family":"Berg","given":"Daniela","non-dropping-particle":"","parse-names":false,"suffix":""},{"dropping-particle":"","family":"Møller","given":"Holger Jon","non-dropping-particle":"","parse-names":false,"suffix":""},{"dropping-particle":"","family":"Maetzler","given":"Walter","non-dropping-particle":"","parse-names":false,"suffix":""},{"dropping-particle":"","family":"Romero</w:instrText>
      </w:r>
      <w:r w:rsidRPr="006E3F9D">
        <w:rPr>
          <w:rFonts w:ascii="Cambria Math" w:hAnsi="Cambria Math" w:cs="Cambria Math"/>
        </w:rPr>
        <w:instrText>‐</w:instrText>
      </w:r>
      <w:r w:rsidRPr="006E3F9D">
        <w:rPr>
          <w:rFonts w:ascii="Times" w:hAnsi="Times"/>
        </w:rPr>
        <w:instrText>Ramos","given":"Marina","non-dropping-particle":"","parse-names":false,"suffix":""}],"container-title":"Movement Disorders","id":"ITEM-1","issue":"June","issued":{"date-parts":[["2019"]]},"page":"mds.27815","title":"Alterations in Blood Monocyte Functions in Parkinson's Disease","type":"article-journal"},"uris":["http://www.mendeley.com/documents/?uuid=8050422a-4f4a-4b30-95c2-2a88e7eba38e"]}],"mendeley":{"formattedCitation":"(Nissen et al., 2019)","plainTextFormattedCitation":"(Nissen et al., 2019)","previouslyFormattedCitation":"(Nissen et al., 2019)"},"properties":{"noteIndex":0},"schema":"https://github.com/citation-style-language/schema/raw/master/csl-citation.json"}</w:instrText>
      </w:r>
      <w:r w:rsidRPr="006E3F9D">
        <w:rPr>
          <w:rStyle w:val="FootnoteReference"/>
          <w:rFonts w:ascii="Times" w:hAnsi="Times"/>
        </w:rPr>
        <w:fldChar w:fldCharType="separate"/>
      </w:r>
      <w:r w:rsidRPr="006E3F9D">
        <w:rPr>
          <w:rFonts w:ascii="Times" w:hAnsi="Times"/>
          <w:noProof/>
        </w:rPr>
        <w:t>(Nissen et al., 2019)</w:t>
      </w:r>
      <w:r w:rsidRPr="006E3F9D">
        <w:rPr>
          <w:rStyle w:val="FootnoteReference"/>
          <w:rFonts w:ascii="Times" w:hAnsi="Times"/>
        </w:rPr>
        <w:fldChar w:fldCharType="end"/>
      </w:r>
      <w:r w:rsidR="006E3F9D" w:rsidRPr="006E3F9D">
        <w:rPr>
          <w:rFonts w:ascii="Times" w:hAnsi="Times"/>
        </w:rPr>
        <w:t xml:space="preserve">: </w:t>
      </w:r>
    </w:p>
    <w:p w:rsidR="00076054" w:rsidRDefault="006E3F9D" w:rsidP="00A97C3B">
      <w:pPr>
        <w:pStyle w:val="ListParagraph"/>
        <w:numPr>
          <w:ilvl w:val="3"/>
          <w:numId w:val="2"/>
        </w:numPr>
        <w:rPr>
          <w:rFonts w:ascii="Times" w:hAnsi="Times"/>
        </w:rPr>
      </w:pPr>
      <w:r w:rsidRPr="006E3F9D">
        <w:rPr>
          <w:rFonts w:ascii="Times" w:hAnsi="Times"/>
        </w:rPr>
        <w:t>“</w:t>
      </w:r>
      <w:r w:rsidRPr="006E3F9D">
        <w:rPr>
          <w:rFonts w:ascii="Calibri" w:hAnsi="Calibri" w:cs="Calibri"/>
        </w:rPr>
        <w:t>﻿</w:t>
      </w:r>
      <w:r w:rsidRPr="006E3F9D">
        <w:rPr>
          <w:rFonts w:ascii="Times" w:hAnsi="Times"/>
        </w:rPr>
        <w:t xml:space="preserve">PD patients’ </w:t>
      </w:r>
      <w:r>
        <w:rPr>
          <w:rFonts w:ascii="Times" w:hAnsi="Times"/>
        </w:rPr>
        <w:t>[</w:t>
      </w:r>
      <w:r w:rsidRPr="006E3F9D">
        <w:rPr>
          <w:rFonts w:ascii="Calibri" w:hAnsi="Calibri" w:cs="Calibri"/>
        </w:rPr>
        <w:t>﻿</w:t>
      </w:r>
      <w:r w:rsidRPr="006E3F9D">
        <w:rPr>
          <w:rFonts w:ascii="Times" w:hAnsi="Times"/>
        </w:rPr>
        <w:t>CD14</w:t>
      </w:r>
      <w:r>
        <w:rPr>
          <w:rFonts w:ascii="Times" w:hAnsi="Times"/>
        </w:rPr>
        <w:t>+/</w:t>
      </w:r>
      <w:r w:rsidRPr="006E3F9D">
        <w:rPr>
          <w:rFonts w:ascii="Times" w:hAnsi="Times"/>
        </w:rPr>
        <w:t>CD163</w:t>
      </w:r>
      <w:r w:rsidR="00A97C3B">
        <w:rPr>
          <w:rFonts w:ascii="Times" w:hAnsi="Times"/>
        </w:rPr>
        <w:t>+</w:t>
      </w:r>
      <w:r>
        <w:rPr>
          <w:rFonts w:ascii="Times" w:hAnsi="Times"/>
        </w:rPr>
        <w:t>/</w:t>
      </w:r>
      <w:r w:rsidRPr="006E3F9D">
        <w:rPr>
          <w:rFonts w:ascii="Times" w:hAnsi="Times"/>
        </w:rPr>
        <w:t>HLA-DR</w:t>
      </w:r>
      <w:r>
        <w:rPr>
          <w:rFonts w:ascii="Times" w:hAnsi="Times"/>
        </w:rPr>
        <w:t xml:space="preserve">+ monocytes] </w:t>
      </w:r>
      <w:r w:rsidRPr="006E3F9D">
        <w:rPr>
          <w:rFonts w:ascii="Times" w:hAnsi="Times"/>
        </w:rPr>
        <w:t>were less responsive to stimulation, as shown by the lack of changes in CD163 and CD14 expression, and by the absence of significant upregulation of anti-inflammatory cytokines in culture”</w:t>
      </w:r>
      <w:r>
        <w:rPr>
          <w:rFonts w:ascii="Times" w:hAnsi="Times"/>
        </w:rPr>
        <w:t>.</w:t>
      </w:r>
    </w:p>
    <w:p w:rsidR="006E3F9D" w:rsidRDefault="006E3F9D" w:rsidP="00A97C3B">
      <w:pPr>
        <w:pStyle w:val="ListParagraph"/>
        <w:numPr>
          <w:ilvl w:val="3"/>
          <w:numId w:val="2"/>
        </w:numPr>
        <w:rPr>
          <w:rFonts w:ascii="Times" w:hAnsi="Times"/>
        </w:rPr>
      </w:pPr>
      <w:r w:rsidRPr="006E3F9D">
        <w:rPr>
          <w:rFonts w:ascii="Times" w:hAnsi="Times"/>
        </w:rPr>
        <w:t>Increased CD14+ monocytes in PD culture after 24h</w:t>
      </w:r>
      <w:r>
        <w:rPr>
          <w:rFonts w:ascii="Times" w:hAnsi="Times"/>
        </w:rPr>
        <w:t>.</w:t>
      </w:r>
    </w:p>
    <w:p w:rsidR="006E3F9D" w:rsidRDefault="006E3F9D" w:rsidP="00A97C3B">
      <w:pPr>
        <w:pStyle w:val="ListParagraph"/>
        <w:numPr>
          <w:ilvl w:val="3"/>
          <w:numId w:val="2"/>
        </w:numPr>
        <w:rPr>
          <w:rFonts w:ascii="Times" w:hAnsi="Times"/>
        </w:rPr>
      </w:pPr>
      <w:r>
        <w:rPr>
          <w:rFonts w:ascii="Times" w:hAnsi="Times"/>
        </w:rPr>
        <w:t>Also demonstrated sex differences in PD (but not control) monocytes.</w:t>
      </w:r>
    </w:p>
    <w:p w:rsidR="006E3F9D" w:rsidRDefault="006E3F9D" w:rsidP="00A97C3B">
      <w:pPr>
        <w:pStyle w:val="ListParagraph"/>
        <w:numPr>
          <w:ilvl w:val="3"/>
          <w:numId w:val="2"/>
        </w:numPr>
        <w:rPr>
          <w:rFonts w:ascii="Times" w:hAnsi="Times"/>
        </w:rPr>
      </w:pPr>
      <w:r>
        <w:rPr>
          <w:rFonts w:ascii="Times" w:hAnsi="Times"/>
        </w:rPr>
        <w:t>Hypothesis: PD monocytes are upregulated due to an impaired ability to response to disease.</w:t>
      </w:r>
    </w:p>
    <w:p w:rsidR="003B6860" w:rsidRDefault="003B6860" w:rsidP="003B6860">
      <w:pPr>
        <w:pStyle w:val="ListParagraph"/>
        <w:numPr>
          <w:ilvl w:val="2"/>
          <w:numId w:val="2"/>
        </w:numPr>
        <w:rPr>
          <w:rFonts w:ascii="Times" w:hAnsi="Times"/>
        </w:rPr>
      </w:pPr>
      <w:r>
        <w:rPr>
          <w:rFonts w:ascii="Times" w:hAnsi="Times"/>
        </w:rPr>
        <w:fldChar w:fldCharType="begin" w:fldLock="1"/>
      </w:r>
      <w:r w:rsidR="007F0D2B">
        <w:rPr>
          <w:rFonts w:ascii="Times" w:hAnsi="Times"/>
        </w:rPr>
        <w:instrText>ADDIN CSL_CITATION {"citationItems":[{"id":"ITEM-1","itemData":{"DOI":"10.1101/499509","abstract":"Recent human genetic studies suggest that cells of the innate immune system have a primary role in the pathogenesis of neurodegenerative diseases. However, the results from these studies often do not elucidate how the genetic variants affect the biology of these cells to modulate disease risk. Here, we applied a tensor decomposition method to uncover disease-associated gene networks linked to distal genetic variation in stimulated human monocytes and macrophages gene expression profiles. We report robust evidence that some disease-associated genetic variants affect the expression of multiple genes in trans . These include a Parkinson's disease locus influencing the expression of genes mediated by a protease that controls lysosomal function, and Alzheimer's disease loci influencing the expression of genes involved in type 1 interferon signaling, myeloid phagocytosis, and complement cascade pathways. Overall, we uncover gene networks in induced innate immune cells linked to disease-associated genetic variants, which may help elucidate the underlying biology of disease.","author":[{"dropping-particle":"","family":"Ramdhani","given":"Satesh","non-dropping-particle":"","parse-names":false,"suffix":""},{"dropping-particle":"","family":"Navarro","given":"Elisa","non-dropping-particle":"","parse-names":false,"suffix":""},{"dropping-particle":"","family":"Udine","given":"Evan","non-dropping-particle":"","parse-names":false,"suffix":""},{"dropping-particle":"","family":"Schilder","given":"Brian M.","non-dropping-particle":"","parse-names":false,"suffix":""},{"dropping-particle":"","family":"Parks","given":"Madison","non-dropping-particle":"","parse-names":false,"suffix":""},{"dropping-particle":"","family":"Raj","given":"Towfique","non-dropping-particle":"","parse-names":false,"suffix":""}],"container-title":"bioRxiv","id":"ITEM-1","issued":{"date-parts":[["2018"]]},"page":"499509","title":"Tensor Decomposition of Stimulated Monocyte and Macrophage Gene Expression Profiles Identifies Neurodegenerative Disease-specific Trans-eQTLs","type":"article-journal"},"uris":["http://www.mendeley.com/documents/?uuid=e52904e5-0fb1-4c07-bfe3-576de12f0129"]}],"mendeley":{"formattedCitation":"(Ramdhani et al., 2018)","plainTextFormattedCitation":"(Ramdhani et al., 2018)","previouslyFormattedCitation":"(Ramdhani et al., 2018)"},"properties":{"noteIndex":0},"schema":"https://github.com/citation-style-language/schema/raw/master/csl-citation.json"}</w:instrText>
      </w:r>
      <w:r>
        <w:rPr>
          <w:rFonts w:ascii="Times" w:hAnsi="Times"/>
        </w:rPr>
        <w:fldChar w:fldCharType="separate"/>
      </w:r>
      <w:r w:rsidRPr="003B6860">
        <w:rPr>
          <w:rFonts w:ascii="Times" w:hAnsi="Times"/>
          <w:noProof/>
        </w:rPr>
        <w:t>(Ramdhani et al., 2018)</w:t>
      </w:r>
      <w:r>
        <w:rPr>
          <w:rFonts w:ascii="Times" w:hAnsi="Times"/>
        </w:rPr>
        <w:fldChar w:fldCharType="end"/>
      </w:r>
      <w:r>
        <w:rPr>
          <w:rFonts w:ascii="Times" w:hAnsi="Times"/>
        </w:rPr>
        <w:t>:</w:t>
      </w:r>
    </w:p>
    <w:p w:rsidR="007F0D2B" w:rsidRPr="007F0D2B" w:rsidRDefault="003B6860" w:rsidP="007F0D2B">
      <w:pPr>
        <w:pStyle w:val="ListParagraph"/>
        <w:numPr>
          <w:ilvl w:val="3"/>
          <w:numId w:val="2"/>
        </w:numPr>
        <w:rPr>
          <w:rFonts w:ascii="Times" w:hAnsi="Times"/>
        </w:rPr>
      </w:pPr>
      <w:r>
        <w:rPr>
          <w:rFonts w:ascii="Times" w:hAnsi="Times"/>
        </w:rPr>
        <w:t>PD and AD-related trans-QT</w:t>
      </w:r>
      <w:r w:rsidR="007F0D2B">
        <w:rPr>
          <w:rFonts w:ascii="Times" w:hAnsi="Times"/>
        </w:rPr>
        <w:t>L</w:t>
      </w:r>
      <w:r>
        <w:rPr>
          <w:rFonts w:ascii="Times" w:hAnsi="Times"/>
        </w:rPr>
        <w:t>s in monocyte/macrophages.</w:t>
      </w:r>
    </w:p>
    <w:p w:rsidR="007F0D2B" w:rsidRDefault="007F0D2B" w:rsidP="007F0D2B">
      <w:pPr>
        <w:pStyle w:val="ListParagraph"/>
        <w:numPr>
          <w:ilvl w:val="2"/>
          <w:numId w:val="2"/>
        </w:numPr>
        <w:rPr>
          <w:rFonts w:ascii="Times" w:hAnsi="Times"/>
        </w:rPr>
      </w:pPr>
      <w:r w:rsidRPr="007F0D2B">
        <w:rPr>
          <w:rFonts w:ascii="Times" w:hAnsi="Times"/>
        </w:rPr>
        <w:fldChar w:fldCharType="begin" w:fldLock="1"/>
      </w:r>
      <w:r>
        <w:rPr>
          <w:rFonts w:ascii="Times" w:hAnsi="Times"/>
        </w:rPr>
        <w:instrText>ADDIN CSL_CITATION {"citationItems":[{"id":"ITEM-1","itemData":{"DOI":"10.1038/s41467-019-08912-9","ISSN":"20411723","abstract":"Genome-wide association studies (GWAS) have identified over 41 susceptibility loci associated with late-onset Parkinson's Disease (PD) but identifying putative causal genes and the underlying mechanisms remains challenging. To address this, we leveraged large-scale transcriptomic datasets to prioritize genes that are likely to affect PD. We found 29 gene associations in peripheral monocytes, and 44 gene associations whose expression or differential splicing in prefrontal cortex is associated with PD. This includes many novel genes but also known associations such as MAPT , for which we found that variation in exon 3 splicing explains the common genetic association. Genes identified in our analyses are more likely to interact physically with known PD genes and belong to the same or related pathways including lysosomal and innate immune function. Overall, our study provides a strong foundation for further mechanistic studies that will elucidate the molecular drivers of PD.","author":[{"dropping-particle":"","family":"Li","given":"Yang I.","non-dropping-particle":"","parse-names":false,"suffix":""},{"dropping-particle":"","family":"Wong","given":"Garrett","non-dropping-particle":"","parse-names":false,"suffix":""},{"dropping-particle":"","family":"Humphrey","given":"Jack","non-dropping-particle":"","parse-names":false,"suffix":""},{"dropping-particle":"","family":"Raj","given":"Towfique","non-dropping-particle":"","parse-names":false,"suffix":""}],"container-title":"Nature Communications","id":"ITEM-1","issue":"1","issued":{"date-parts":[["2019"]]},"page":"1-10","title":"Prioritizing Parkinson’s disease genes using population-scale transcriptomic data","type":"article-journal","volume":"10"},"uris":["http://www.mendeley.com/documents/?uuid=37f54438-3fb4-44f4-b84b-b49713ed574c"]}],"mendeley":{"formattedCitation":"(Li, Wong, Humphrey, &amp; Raj, 2019)","plainTextFormattedCitation":"(Li, Wong, Humphrey, &amp; Raj, 2019)","previouslyFormattedCitation":"(Li, Wong, Humphrey, &amp; Raj, 2019)"},"properties":{"noteIndex":0},"schema":"https://github.com/citation-style-language/schema/raw/master/csl-citation.json"}</w:instrText>
      </w:r>
      <w:r w:rsidRPr="007F0D2B">
        <w:rPr>
          <w:rFonts w:ascii="Times" w:hAnsi="Times"/>
        </w:rPr>
        <w:fldChar w:fldCharType="separate"/>
      </w:r>
      <w:r w:rsidRPr="007F0D2B">
        <w:rPr>
          <w:rFonts w:ascii="Times" w:hAnsi="Times"/>
          <w:noProof/>
        </w:rPr>
        <w:t>(Li, Wong, Humphrey, &amp; Raj, 2019)</w:t>
      </w:r>
      <w:r w:rsidRPr="007F0D2B">
        <w:rPr>
          <w:rFonts w:ascii="Times" w:hAnsi="Times"/>
        </w:rPr>
        <w:fldChar w:fldCharType="end"/>
      </w:r>
      <w:r>
        <w:rPr>
          <w:rFonts w:ascii="Times" w:hAnsi="Times"/>
        </w:rPr>
        <w:t>:</w:t>
      </w:r>
    </w:p>
    <w:p w:rsidR="007F0D2B" w:rsidRDefault="007F0D2B" w:rsidP="007F0D2B">
      <w:pPr>
        <w:pStyle w:val="ListParagraph"/>
        <w:numPr>
          <w:ilvl w:val="3"/>
          <w:numId w:val="2"/>
        </w:numPr>
        <w:rPr>
          <w:rFonts w:ascii="Times" w:hAnsi="Times"/>
        </w:rPr>
      </w:pPr>
      <w:r>
        <w:rPr>
          <w:rFonts w:ascii="Times" w:hAnsi="Times"/>
        </w:rPr>
        <w:t>LRRK2 eQTLs observed in monocytes (</w:t>
      </w:r>
      <w:proofErr w:type="spellStart"/>
      <w:r>
        <w:rPr>
          <w:rFonts w:ascii="Times" w:hAnsi="Times"/>
        </w:rPr>
        <w:t xml:space="preserve">but </w:t>
      </w:r>
      <w:proofErr w:type="spellEnd"/>
      <w:r>
        <w:rPr>
          <w:rFonts w:ascii="Times" w:hAnsi="Times"/>
        </w:rPr>
        <w:t>not bulk brain tissue).</w:t>
      </w:r>
    </w:p>
    <w:p w:rsidR="007F0D2B" w:rsidRDefault="007F0D2B" w:rsidP="007F0D2B">
      <w:pPr>
        <w:pStyle w:val="ListParagraph"/>
        <w:numPr>
          <w:ilvl w:val="2"/>
          <w:numId w:val="2"/>
        </w:numPr>
        <w:rPr>
          <w:rFonts w:ascii="Times" w:hAnsi="Times"/>
        </w:rPr>
      </w:pPr>
      <w:r>
        <w:rPr>
          <w:rFonts w:ascii="Times" w:hAnsi="Times"/>
        </w:rPr>
        <w:fldChar w:fldCharType="begin" w:fldLock="1"/>
      </w:r>
      <w:r w:rsidR="00E71768">
        <w:rPr>
          <w:rFonts w:ascii="Times" w:hAnsi="Times"/>
        </w:rPr>
        <w:instrText>ADDIN CSL_CITATION {"citationItems":[{"id":"ITEM-1","itemData":{"abstract":"To extend our understanding of the genetic basis of human immune function and dysfunction, we performed an expression quantitative trait locus (eQTL) study of purified CD4+ T cells and monocytes, representing adaptive and innate immunity, in a multi-ethnic cohort of 461 healthy individuals. Context-specific cis- and trans-eQTLs were identified, and cross-population mapping allowed, in some cases, putative functional assignment of candidate causal regulatory variants for disease-associated loci. We note an over-representation of T cell–specific eQTLs among susceptibility alleles for autoimmune diseases and of monocyte-specific eQTLs among Alzheimer’s and Parkinson’s disease variants. This polarization implicates specific immune cell types in these diseases and points to the need to identify the cell-autonomous effects of disease susceptibility variants.","author":[{"dropping-particle":"","family":"Raj","given":"Towfique","non-dropping-particle":"","parse-names":false,"suffix":""},{"dropping-particle":"","family":"Rothamel","given":"Katie","non-dropping-particle":"","parse-names":false,"suffix":""},{"dropping-particle":"","family":"Mostafavi","given":"Sara","non-dropping-particle":"","parse-names":false,"suffix":""},{"dropping-particle":"","family":"Ye","given":"Chun","non-dropping-particle":"","parse-names":false,"suffix":""},{"dropping-particle":"","family":"Lee","given":"Mark N.","non-dropping-particle":"","parse-names":false,"suffix":""},{"dropping-particle":"","family":"Replogle","given":"Joseph M.","non-dropping-particle":"","parse-names":false,"suffix":""},{"dropping-particle":"","family":"Feng","given":"Ting","non-dropping-particle":"","parse-names":false,"suffix":""},{"dropping-particle":"","family":"Lee","given":"Michelle","non-dropping-particle":"","parse-names":false,"suffix":""},{"dropping-particle":"","family":"Asinovski","given":"Natasha","non-dropping-particle":"","parse-names":false,"suffix":""},{"dropping-particle":"","family":"Frohlich","given":"Irene","non-dropping-particle":"","parse-names":false,"suffix":""},{"dropping-particle":"","family":"Imboywa","given":"Selina","non-dropping-particle":"","parse-names":false,"suffix":""},{"dropping-particle":"Von","family":"Korff","given":"Alina","non-dropping-particle":"","parse-names":false,"suffix":""},{"dropping-particle":"","family":"Okada","given":"Yukinori","non-dropping-particle":"","parse-names":false,"suffix":""},{"dropping-particle":"","family":"Patsopoulos","given":"Nikolaos A.","non-dropping-particle":"","parse-names":false,"suffix":""},{"dropping-particle":"","family":"Davis","given":"Scott","non-dropping-particle":"","parse-names":false,"suffix":""},{"dropping-particle":"","family":"McCabe","given":"Cristin","non-dropping-particle":"","parse-names":false,"suffix":""},{"dropping-particle":"","family":"Paik","given":"Hyun-il","non-dropping-particle":"","parse-names":false,"suffix":""},{"dropping-particle":"","family":"Srivastava","given":"Gyan P.","non-dropping-particle":"","parse-names":false,"suffix":""},{"dropping-particle":"","family":"Raychaudhuri","given":"Soumya","non-dropping-particle":"","parse-names":false,"suffix":""},{"dropping-particle":"","family":"Hafler","given":"David A.","non-dropping-particle":"","parse-names":false,"suffix":""},{"dropping-particle":"","family":"Koller","given":"Daphne","non-dropping-particle":"","parse-names":false,"suffix":""},{"dropping-particle":"","family":"Regev","given":"Aviv","non-dropping-particle":"","parse-names":false,"suffix":""},{"dropping-particle":"","family":"Hacohen","given":"Nir","non-dropping-particle":"","parse-names":false,"suffix":""},{"dropping-particle":"","family":"Mathis","given":"Diane","non-dropping-particle":"","parse-names":false,"suffix":""},{"dropping-particle":"","family":"Benoist","given":"Christophe","non-dropping-particle":"","parse-names":false,"suffix":""},{"dropping-particle":"","family":"Stranger","given":"Barbara E.","non-dropping-particle":"","parse-names":false,"suffix":""},{"dropping-particle":"De","family":"Jager","given":"Philip L.","non-dropping-particle":"","parse-names":false,"suffix":""}],"container-title":"Science","id":"ITEM-1","issue":"May","issued":{"date-parts":[["2014"]]},"page":"519-524","title":"Polarization of the effects of autoimmune and neurodegenerative risk alleles in leukocytes","type":"article-journal","volume":"344"},"uris":["http://www.mendeley.com/documents/?uuid=f2273d37-903b-40ad-a262-a977e7ecc5fe"]}],"mendeley":{"formattedCitation":"(Raj et al., 2014)","plainTextFormattedCitation":"(Raj et al., 2014)","previouslyFormattedCitation":"(Raj et al., 2014)"},"properties":{"noteIndex":0},"schema":"https://github.com/citation-style-language/schema/raw/master/csl-citation.json"}</w:instrText>
      </w:r>
      <w:r>
        <w:rPr>
          <w:rFonts w:ascii="Times" w:hAnsi="Times"/>
        </w:rPr>
        <w:fldChar w:fldCharType="separate"/>
      </w:r>
      <w:r w:rsidRPr="007F0D2B">
        <w:rPr>
          <w:rFonts w:ascii="Times" w:hAnsi="Times"/>
          <w:noProof/>
        </w:rPr>
        <w:t>(Raj et al., 2014)</w:t>
      </w:r>
      <w:r>
        <w:rPr>
          <w:rFonts w:ascii="Times" w:hAnsi="Times"/>
        </w:rPr>
        <w:fldChar w:fldCharType="end"/>
      </w:r>
      <w:r>
        <w:rPr>
          <w:rFonts w:ascii="Times" w:hAnsi="Times"/>
        </w:rPr>
        <w:t>:</w:t>
      </w:r>
    </w:p>
    <w:p w:rsidR="007F0D2B" w:rsidRPr="007F0D2B" w:rsidRDefault="007F0D2B" w:rsidP="007F0D2B">
      <w:pPr>
        <w:pStyle w:val="ListParagraph"/>
        <w:numPr>
          <w:ilvl w:val="3"/>
          <w:numId w:val="2"/>
        </w:numPr>
        <w:rPr>
          <w:rFonts w:ascii="Times" w:hAnsi="Times"/>
        </w:rPr>
      </w:pPr>
      <w:r>
        <w:rPr>
          <w:rFonts w:ascii="Times" w:hAnsi="Times"/>
        </w:rPr>
        <w:t>Large proportion (~2/3) of eQTLs were monocyte markers.</w:t>
      </w:r>
      <w:r w:rsidR="00A849B4">
        <w:rPr>
          <w:rFonts w:ascii="Times" w:hAnsi="Times"/>
        </w:rPr>
        <w:t xml:space="preserve"> AD was about the same, if not slightly more.</w:t>
      </w:r>
    </w:p>
    <w:p w:rsidR="00A97C3B" w:rsidRDefault="00A97C3B" w:rsidP="006E3F9D">
      <w:pPr>
        <w:pStyle w:val="ListParagraph"/>
        <w:numPr>
          <w:ilvl w:val="1"/>
          <w:numId w:val="2"/>
        </w:numPr>
        <w:rPr>
          <w:rFonts w:ascii="Times" w:hAnsi="Times"/>
          <w:i/>
          <w:iCs/>
        </w:rPr>
      </w:pPr>
      <w:r w:rsidRPr="00A97C3B">
        <w:rPr>
          <w:rFonts w:ascii="Times" w:hAnsi="Times"/>
          <w:i/>
          <w:iCs/>
        </w:rPr>
        <w:t>History of monocyte subtypes:</w:t>
      </w:r>
    </w:p>
    <w:p w:rsidR="00A97C3B" w:rsidRDefault="00A97C3B" w:rsidP="00A97C3B">
      <w:pPr>
        <w:pStyle w:val="ListParagraph"/>
        <w:numPr>
          <w:ilvl w:val="2"/>
          <w:numId w:val="2"/>
        </w:numPr>
        <w:rPr>
          <w:rFonts w:ascii="Times" w:hAnsi="Times"/>
        </w:rPr>
      </w:pPr>
      <w:r>
        <w:rPr>
          <w:rFonts w:ascii="Times" w:hAnsi="Times"/>
        </w:rPr>
        <w:fldChar w:fldCharType="begin" w:fldLock="1"/>
      </w:r>
      <w:r w:rsidR="00F31850">
        <w:rPr>
          <w:rFonts w:ascii="Times" w:hAnsi="Times"/>
        </w:rPr>
        <w:instrText>ADDIN CSL_CITATION {"citationItems":[{"id":"ITEM-1","itemData":{"DOI":"10.1038/srep13886","ISBN":"2045-2322","ISSN":"20452322","PMID":"26358827","abstract":"Given the importance of monocytes in pathogenesis of infectious and other inflammatory disorders, delineating functional and phenotypic characterization of monocyte subsets has emerged as a critical requirement. Although human monocytes have been subdivided into three different populations based on surface expression of CD14 and CD16, published reports suffer from contradictions with respect to subset phenotypes and function. This has been attributed to discrepancies in reliable gating strategies for flow cytometric characterization and purification protocols contributing to significant changes in receptor expression. By using a combination of multicolour flow cytometry and a high-dimensional automated clustering algorithm to confirm robustness of gating strategy and analysis of ex-vivo activation of whole blood with LPS we demonstrate the following: a. 'Classical' monocytes are phagocytic with no inflammatory attributes, b. 'Non-classical' subtype display 'inflammatory' characteristics on activation and display properties for antigen presentation and c. 'Intermediate' subtype that constitutes a very small percentage in circulation (under physiological conditions) appear to be transitional monocytes that display both phagocytic and inflammatory function. Analysis of blood from patients with Sepsis, a pathogen driven acute inflammatory disease and Systemic Lupus Erythmatosus (SLE), a chronic inflammatory disorder validated the broad conclusions drawn in the study.","author":[{"dropping-particle":"","family":"Mukherjee","given":"Ratnadeep","non-dropping-particle":"","parse-names":false,"suffix":""},{"dropping-particle":"","family":"Kanti Barman","given":"Pijus","non-dropping-particle":"","parse-names":false,"suffix":""},{"dropping-particle":"","family":"Kumar Thatoi","given":"Pravat","non-dropping-particle":"","parse-names":false,"suffix":""},{"dropping-particle":"","family":"Tripathy","given":"Rina","non-dropping-particle":"","parse-names":false,"suffix":""},{"dropping-particle":"","family":"Kumar Das","given":"Bidyut","non-dropping-particle":"","parse-names":false,"suffix":""},{"dropping-particle":"","family":"Ravindran","given":"Balachandran","non-dropping-particle":"","parse-names":false,"suffix":""}],"container-title":"Scientific Reports","id":"ITEM-1","issue":"May","issued":{"date-parts":[["2015"]]},"page":"1-14","publisher":"Nature Publishing Group","title":"Non-Classical monocytes display inflammatory features: Validation in Sepsis and Systemic Lupus Erythematous","type":"article-journal","volume":"5"},"uris":["http://www.mendeley.com/documents/?uuid=8194856b-cf88-4fc7-9a44-6a6cc4cafc07"]}],"mendeley":{"formattedCitation":"(Mukherjee et al., 2015)","plainTextFormattedCitation":"(Mukherjee et al., 2015)","previouslyFormattedCitation":"(Mukherjee et al., 2015)"},"properties":{"noteIndex":0},"schema":"https://github.com/citation-style-language/schema/raw/master/csl-citation.json"}</w:instrText>
      </w:r>
      <w:r>
        <w:rPr>
          <w:rFonts w:ascii="Times" w:hAnsi="Times"/>
        </w:rPr>
        <w:fldChar w:fldCharType="separate"/>
      </w:r>
      <w:r w:rsidRPr="00A97C3B">
        <w:rPr>
          <w:rFonts w:ascii="Times" w:hAnsi="Times"/>
          <w:noProof/>
        </w:rPr>
        <w:t>(Mukherjee et al., 2015)</w:t>
      </w:r>
      <w:r>
        <w:rPr>
          <w:rFonts w:ascii="Times" w:hAnsi="Times"/>
        </w:rPr>
        <w:fldChar w:fldCharType="end"/>
      </w:r>
      <w:r>
        <w:rPr>
          <w:rFonts w:ascii="Times" w:hAnsi="Times"/>
        </w:rPr>
        <w:t>:</w:t>
      </w:r>
    </w:p>
    <w:p w:rsidR="00A97C3B" w:rsidRDefault="00A97C3B" w:rsidP="00A97C3B">
      <w:pPr>
        <w:pStyle w:val="ListParagraph"/>
        <w:numPr>
          <w:ilvl w:val="3"/>
          <w:numId w:val="2"/>
        </w:numPr>
        <w:rPr>
          <w:rFonts w:ascii="Times" w:hAnsi="Times"/>
        </w:rPr>
      </w:pPr>
      <w:r>
        <w:rPr>
          <w:rFonts w:ascii="Times" w:hAnsi="Times"/>
        </w:rPr>
        <w:t xml:space="preserve">Classical vs. non-classical vs. intermediate monocytes (in Lupus) </w:t>
      </w:r>
    </w:p>
    <w:p w:rsidR="006E3F9D" w:rsidRDefault="000113D0" w:rsidP="00A97C3B">
      <w:pPr>
        <w:pStyle w:val="ListParagraph"/>
        <w:numPr>
          <w:ilvl w:val="2"/>
          <w:numId w:val="2"/>
        </w:numPr>
        <w:rPr>
          <w:rFonts w:ascii="Times" w:hAnsi="Times"/>
        </w:rPr>
      </w:pPr>
      <w:r>
        <w:rPr>
          <w:rFonts w:ascii="Times" w:hAnsi="Times"/>
        </w:rPr>
        <w:fldChar w:fldCharType="begin" w:fldLock="1"/>
      </w:r>
      <w:r w:rsidR="00A97C3B">
        <w:rPr>
          <w:rFonts w:ascii="Times" w:hAnsi="Times"/>
        </w:rPr>
        <w:instrText>ADDIN CSL_CITATION {"citationItems":[{"id":"ITEM-1","itemData":{"DOI":"10.1097/TP.0000000000001890","ISBN":"1095-9203 (Electronic) 0036-8075 (Linking)","ISSN":"00411337","PMID":"28428369","abstract":"Dendritic cells (DCs) and monocytes play a central role in pathogen sensing, phagocytosis, and antigen presentation and consist of multiple specialized subtypes. However, their identities and interrelationships are not fully understood. Using unbiased single-cell RNA sequencing (RNA-seq) of ~2400 cells, we identified six human DCs and four monocyte subtypes in human blood. Our study reveals a new DC subset that shares properties with plasmacytoid DCs (pDCs) but potently activates T cells, thus redefining pDCs; a new subdivision within the CD1C+ subset of DCs; the relationship between blastic plasmacytoid DC neoplasia cells and healthy DCs; and circulating progenitor of conventional DCs (cDCs). Our revised taxonomy will enable more accurate functional and developmental analyses as well as immune monitoring in health and disease.","author":[{"dropping-particle":"","family":"Villani","given":"A.C.","non-dropping-particle":"","parse-names":false,"suffix":""},{"dropping-particle":"","family":"Satija","given":"R.","non-dropping-particle":"","parse-names":false,"suffix":""},{"dropping-particle":"","family":"Reynolds","given":"G.","non-dropping-particle":"","parse-names":false,"suffix":""},{"dropping-particle":"","family":"Sarkizova","given":"S.","non-dropping-particle":"","parse-names":false,"suffix":""},{"dropping-particle":"","family":"Shekhar","given":"K.","non-dropping-particle":"","parse-names":false,"suffix":""},{"dropping-particle":"","family":"Fletcher","given":"J.","non-dropping-particle":"","parse-names":false,"suffix":""},{"dropping-particle":"","family":"Griesbeck","given":"M.","non-dropping-particle":"","parse-names":false,"suffix":""},{"dropping-particle":"","family":"Butler","given":"A.","non-dropping-particle":"","parse-names":false,"suffix":""},{"dropping-particle":"","family":"Zheng","given":"S.","non-dropping-particle":"","parse-names":false,"suffix":""},{"dropping-particle":"","family":"Lazo","given":"S.","non-dropping-particle":"","parse-names":false,"suffix":""},{"dropping-particle":"","family":"Jardine","given":"L.","non-dropping-particle":"","parse-names":false,"suffix":""}],"container-title":"Science","id":"ITEM-1","issue":"9","issued":{"date-parts":[["2017"]]},"page":"1955-1956","title":"Single-cell RNA-Seq reveals new types of human blood dendritic cells, monocytes, and progenitors","type":"article-journal","volume":"101"},"uris":["http://www.mendeley.com/documents/?uuid=016327dc-2f21-4645-a472-2a166981e14b"]}],"mendeley":{"formattedCitation":"(Villani et al., 2017)","plainTextFormattedCitation":"(Villani et al., 2017)","previouslyFormattedCitation":"(Villani et al., 2017)"},"properties":{"noteIndex":0},"schema":"https://github.com/citation-style-language/schema/raw/master/csl-citation.json"}</w:instrText>
      </w:r>
      <w:r>
        <w:rPr>
          <w:rFonts w:ascii="Times" w:hAnsi="Times"/>
        </w:rPr>
        <w:fldChar w:fldCharType="separate"/>
      </w:r>
      <w:r w:rsidRPr="000113D0">
        <w:rPr>
          <w:rFonts w:ascii="Times" w:hAnsi="Times"/>
          <w:noProof/>
        </w:rPr>
        <w:t>(Villani et al., 2017)</w:t>
      </w:r>
      <w:r>
        <w:rPr>
          <w:rFonts w:ascii="Times" w:hAnsi="Times"/>
        </w:rPr>
        <w:fldChar w:fldCharType="end"/>
      </w:r>
      <w:r>
        <w:rPr>
          <w:rFonts w:ascii="Times" w:hAnsi="Times"/>
        </w:rPr>
        <w:t>:</w:t>
      </w:r>
    </w:p>
    <w:p w:rsidR="000113D0" w:rsidRDefault="000113D0" w:rsidP="00A97C3B">
      <w:pPr>
        <w:pStyle w:val="ListParagraph"/>
        <w:numPr>
          <w:ilvl w:val="3"/>
          <w:numId w:val="2"/>
        </w:numPr>
        <w:rPr>
          <w:rFonts w:ascii="Times" w:hAnsi="Times"/>
        </w:rPr>
      </w:pPr>
      <w:proofErr w:type="spellStart"/>
      <w:r>
        <w:rPr>
          <w:rFonts w:ascii="Times" w:hAnsi="Times"/>
        </w:rPr>
        <w:t>scRNA</w:t>
      </w:r>
      <w:proofErr w:type="spellEnd"/>
      <w:r>
        <w:rPr>
          <w:rFonts w:ascii="Times" w:hAnsi="Times"/>
        </w:rPr>
        <w:t>-seq of ~2,400 PMBCs. Proposed new classification of 6 DC subtypes and 4 monocytes subtypes.</w:t>
      </w:r>
    </w:p>
    <w:p w:rsidR="00636EDC" w:rsidRDefault="00636EDC" w:rsidP="00636EDC">
      <w:pPr>
        <w:pStyle w:val="ListParagraph"/>
        <w:numPr>
          <w:ilvl w:val="1"/>
          <w:numId w:val="2"/>
        </w:numPr>
        <w:rPr>
          <w:rFonts w:ascii="Times" w:hAnsi="Times"/>
          <w:i/>
          <w:iCs/>
        </w:rPr>
      </w:pPr>
      <w:r w:rsidRPr="00636EDC">
        <w:rPr>
          <w:rFonts w:ascii="Times" w:hAnsi="Times"/>
          <w:i/>
          <w:iCs/>
        </w:rPr>
        <w:t>Purpose of this study:</w:t>
      </w:r>
    </w:p>
    <w:p w:rsidR="00636EDC" w:rsidRPr="00636EDC" w:rsidRDefault="00636EDC" w:rsidP="00636EDC">
      <w:pPr>
        <w:pStyle w:val="ListParagraph"/>
        <w:numPr>
          <w:ilvl w:val="2"/>
          <w:numId w:val="2"/>
        </w:numPr>
        <w:rPr>
          <w:rFonts w:ascii="Times" w:hAnsi="Times"/>
          <w:i/>
          <w:iCs/>
        </w:rPr>
      </w:pPr>
      <w:r>
        <w:rPr>
          <w:rFonts w:ascii="Times" w:hAnsi="Times"/>
        </w:rPr>
        <w:t xml:space="preserve">Investigate the molecular mechanisms of PD within subtypes of monocytes. </w:t>
      </w:r>
    </w:p>
    <w:p w:rsidR="00636EDC" w:rsidRPr="00636EDC" w:rsidRDefault="00636EDC" w:rsidP="00636EDC">
      <w:pPr>
        <w:pStyle w:val="ListParagraph"/>
        <w:numPr>
          <w:ilvl w:val="2"/>
          <w:numId w:val="2"/>
        </w:numPr>
        <w:rPr>
          <w:rFonts w:ascii="Times" w:hAnsi="Times"/>
          <w:i/>
          <w:iCs/>
        </w:rPr>
      </w:pPr>
      <w:r>
        <w:rPr>
          <w:rFonts w:ascii="Times" w:hAnsi="Times"/>
        </w:rPr>
        <w:t xml:space="preserve">To do this, we conducted </w:t>
      </w:r>
      <w:proofErr w:type="spellStart"/>
      <w:r>
        <w:rPr>
          <w:rFonts w:ascii="Times" w:hAnsi="Times"/>
        </w:rPr>
        <w:t>scRNA</w:t>
      </w:r>
      <w:proofErr w:type="spellEnd"/>
      <w:r>
        <w:rPr>
          <w:rFonts w:ascii="Times" w:hAnsi="Times"/>
        </w:rPr>
        <w:t>-seq on CD14+ monocytes in 10 patients (3 controls and 7 PD)</w:t>
      </w:r>
    </w:p>
    <w:p w:rsidR="00636EDC" w:rsidRPr="00636EDC" w:rsidRDefault="00905180" w:rsidP="00636EDC">
      <w:pPr>
        <w:pStyle w:val="ListParagraph"/>
        <w:numPr>
          <w:ilvl w:val="2"/>
          <w:numId w:val="2"/>
        </w:numPr>
        <w:rPr>
          <w:rFonts w:ascii="Times" w:hAnsi="Times"/>
          <w:i/>
          <w:iCs/>
        </w:rPr>
      </w:pPr>
      <w:r>
        <w:rPr>
          <w:rFonts w:ascii="Times" w:hAnsi="Times"/>
        </w:rPr>
        <w:t>In order to assess whether these monocyte subtype specific effect could be detected within a larger cohort of individuals at the bulk-level, w</w:t>
      </w:r>
      <w:r w:rsidR="00636EDC">
        <w:rPr>
          <w:rFonts w:ascii="Times" w:hAnsi="Times"/>
        </w:rPr>
        <w:t>e also compared gene co-expression network derived from this data to those derived from bulk RNA-seq of purified monocytes.</w:t>
      </w:r>
    </w:p>
    <w:p w:rsidR="00076054" w:rsidRDefault="00076054" w:rsidP="005054EF">
      <w:pPr>
        <w:pStyle w:val="ListParagraph"/>
        <w:numPr>
          <w:ilvl w:val="0"/>
          <w:numId w:val="2"/>
        </w:numPr>
        <w:rPr>
          <w:rFonts w:ascii="Times" w:hAnsi="Times"/>
          <w:b/>
          <w:bCs/>
        </w:rPr>
      </w:pPr>
      <w:r>
        <w:rPr>
          <w:rFonts w:ascii="Times" w:hAnsi="Times"/>
          <w:b/>
          <w:bCs/>
        </w:rPr>
        <w:t>Methods</w:t>
      </w:r>
      <w:r w:rsidR="001F1BD2">
        <w:rPr>
          <w:rFonts w:ascii="Times" w:hAnsi="Times"/>
          <w:b/>
          <w:bCs/>
        </w:rPr>
        <w:t xml:space="preserve"> &amp; Materials</w:t>
      </w:r>
    </w:p>
    <w:p w:rsidR="00076054" w:rsidRDefault="00076054" w:rsidP="00076054">
      <w:pPr>
        <w:pStyle w:val="ListParagraph"/>
        <w:numPr>
          <w:ilvl w:val="1"/>
          <w:numId w:val="2"/>
        </w:numPr>
        <w:rPr>
          <w:rFonts w:ascii="Times" w:hAnsi="Times"/>
        </w:rPr>
      </w:pPr>
      <w:proofErr w:type="spellStart"/>
      <w:r w:rsidRPr="00076054">
        <w:rPr>
          <w:rFonts w:ascii="Times" w:hAnsi="Times"/>
        </w:rPr>
        <w:t>scRNA</w:t>
      </w:r>
      <w:proofErr w:type="spellEnd"/>
      <w:r w:rsidRPr="00076054">
        <w:rPr>
          <w:rFonts w:ascii="Times" w:hAnsi="Times"/>
        </w:rPr>
        <w:t xml:space="preserve">-seq </w:t>
      </w:r>
    </w:p>
    <w:p w:rsidR="00A97C3B" w:rsidRDefault="00A97C3B" w:rsidP="00A97C3B">
      <w:pPr>
        <w:pStyle w:val="ListParagraph"/>
        <w:numPr>
          <w:ilvl w:val="2"/>
          <w:numId w:val="2"/>
        </w:numPr>
        <w:rPr>
          <w:rFonts w:ascii="Times" w:hAnsi="Times"/>
        </w:rPr>
      </w:pPr>
      <w:r>
        <w:rPr>
          <w:rFonts w:ascii="Times" w:hAnsi="Times"/>
        </w:rPr>
        <w:lastRenderedPageBreak/>
        <w:t>Samples</w:t>
      </w:r>
    </w:p>
    <w:p w:rsidR="00A97C3B" w:rsidRDefault="00A97C3B" w:rsidP="00A97C3B">
      <w:pPr>
        <w:pStyle w:val="ListParagraph"/>
        <w:numPr>
          <w:ilvl w:val="3"/>
          <w:numId w:val="2"/>
        </w:numPr>
        <w:rPr>
          <w:rFonts w:ascii="Times" w:hAnsi="Times"/>
        </w:rPr>
      </w:pPr>
      <w:r>
        <w:rPr>
          <w:rFonts w:ascii="Times" w:hAnsi="Times"/>
        </w:rPr>
        <w:t>10 donors: 3 controls, 7 PD (2 GBA + 1 LRRK2 + 4 sporadic PD)</w:t>
      </w:r>
    </w:p>
    <w:p w:rsidR="00076054" w:rsidRDefault="00076054" w:rsidP="00076054">
      <w:pPr>
        <w:pStyle w:val="ListParagraph"/>
        <w:numPr>
          <w:ilvl w:val="2"/>
          <w:numId w:val="2"/>
        </w:numPr>
        <w:rPr>
          <w:rFonts w:ascii="Times" w:hAnsi="Times"/>
        </w:rPr>
      </w:pPr>
      <w:r w:rsidRPr="00076054">
        <w:rPr>
          <w:rFonts w:ascii="Times" w:hAnsi="Times"/>
        </w:rPr>
        <w:t>Data Collection</w:t>
      </w:r>
    </w:p>
    <w:p w:rsidR="002C4CE8" w:rsidRDefault="00BC75E6" w:rsidP="002C4CE8">
      <w:pPr>
        <w:pStyle w:val="ListParagraph"/>
        <w:numPr>
          <w:ilvl w:val="3"/>
          <w:numId w:val="2"/>
        </w:numPr>
        <w:rPr>
          <w:rFonts w:ascii="Times" w:hAnsi="Times"/>
        </w:rPr>
      </w:pPr>
      <w:r>
        <w:rPr>
          <w:rFonts w:ascii="Times" w:hAnsi="Times"/>
        </w:rPr>
        <w:t xml:space="preserve">CITE-seq, highlight </w:t>
      </w:r>
      <w:r w:rsidR="006E3F9D">
        <w:rPr>
          <w:rFonts w:ascii="Times" w:hAnsi="Times"/>
        </w:rPr>
        <w:t xml:space="preserve">Cell Hashing </w:t>
      </w:r>
      <w:r w:rsidR="006E3F9D">
        <w:rPr>
          <w:rFonts w:ascii="Times" w:hAnsi="Times"/>
        </w:rPr>
        <w:fldChar w:fldCharType="begin" w:fldLock="1"/>
      </w:r>
      <w:r w:rsidR="000113D0">
        <w:rPr>
          <w:rFonts w:ascii="Times" w:hAnsi="Times"/>
        </w:rPr>
        <w:instrText>ADDIN CSL_CITATION {"citationItems":[{"id":"ITEM-1","itemData":{"DOI":"10.1101/237693","ISSN":"1474-760X","PMID":"30567574","abstract":"Despite rapid developments in single cell sequencing technology, sample-specific batch effects, detection of cell doublets, and the cost of generating massive datasets remain outstanding challenges. Here, we introduce cell \"hashing\", where oligo-tagged antibodies against ubiquitously expressed surface proteins are used to uniquely label cells from distinct samples, which can be subsequently pooled. By sequencing these tags alongside the cellular transcriptome, we can assign each cell to its sample of origin, and robustly identify doublets originating from multiple samples. We demonstrate our approach by pooling eight human PBMC samples on a single run of the 10x Chromium system, substantially reducing our per-cell costs for library generation. Cell \"hashing\" is inspired by, and complementary to, elegant multiplexing strategies based on genetic variation, which we also leverage to validate our results. We therefore envision that our approach will help to generalize the benefits of single cell multiplexing to diverse samples and experimental designs.","author":[{"dropping-particle":"","family":"Stoeckius","given":"Marlon","non-dropping-particle":"","parse-names":false,"suffix":""},{"dropping-particle":"","family":"Zheng","given":"Shiwei","non-dropping-particle":"","parse-names":false,"suffix":""},{"dropping-particle":"","family":"Houck-Loomis","given":"Brian","non-dropping-particle":"","parse-names":false,"suffix":""},{"dropping-particle":"","family":"Hao","given":"Stephanie","non-dropping-particle":"","parse-names":false,"suffix":""},{"dropping-particle":"","family":"Yeung","given":"Bertrand Z.","non-dropping-particle":"","parse-names":false,"suffix":""},{"dropping-particle":"","family":"Smibert","given":"Peter","non-dropping-particle":"","parse-names":false,"suffix":""},{"dropping-particle":"","family":"Satija","given":"Rahul","non-dropping-particle":"","parse-names":false,"suffix":""}],"container-title":"Genome biology","id":"ITEM-1","issued":{"date-parts":[["2018"]]},"page":"237693","publisher":"Genome Biology","title":"Cell \"hashing\" with barcoded antibodies enables multiplexing and doublet detection for single cell genomics","type":"article-journal"},"uris":["http://www.mendeley.com/documents/?uuid=337532c9-70d1-41f8-9a73-4a7e05299226"]}],"mendeley":{"formattedCitation":"(Stoeckius et al., 2018)","plainTextFormattedCitation":"(Stoeckius et al., 2018)","previouslyFormattedCitation":"(Stoeckius et al., 2018)"},"properties":{"noteIndex":0},"schema":"https://github.com/citation-style-language/schema/raw/master/csl-citation.json"}</w:instrText>
      </w:r>
      <w:r w:rsidR="006E3F9D">
        <w:rPr>
          <w:rFonts w:ascii="Times" w:hAnsi="Times"/>
        </w:rPr>
        <w:fldChar w:fldCharType="separate"/>
      </w:r>
      <w:r w:rsidR="006E3F9D" w:rsidRPr="006E3F9D">
        <w:rPr>
          <w:rFonts w:ascii="Times" w:hAnsi="Times"/>
          <w:noProof/>
        </w:rPr>
        <w:t>(Stoeckius et al., 2018)</w:t>
      </w:r>
      <w:r w:rsidR="006E3F9D">
        <w:rPr>
          <w:rFonts w:ascii="Times" w:hAnsi="Times"/>
        </w:rPr>
        <w:fldChar w:fldCharType="end"/>
      </w:r>
    </w:p>
    <w:p w:rsidR="00076054" w:rsidRDefault="00076054" w:rsidP="00076054">
      <w:pPr>
        <w:pStyle w:val="ListParagraph"/>
        <w:numPr>
          <w:ilvl w:val="2"/>
          <w:numId w:val="2"/>
        </w:numPr>
        <w:rPr>
          <w:rFonts w:ascii="Times" w:hAnsi="Times"/>
        </w:rPr>
      </w:pPr>
      <w:r>
        <w:rPr>
          <w:rFonts w:ascii="Times" w:hAnsi="Times"/>
        </w:rPr>
        <w:t>Data Analysis</w:t>
      </w:r>
    </w:p>
    <w:p w:rsidR="00F31850" w:rsidRDefault="00F31850" w:rsidP="00F31850">
      <w:pPr>
        <w:pStyle w:val="ListParagraph"/>
        <w:numPr>
          <w:ilvl w:val="3"/>
          <w:numId w:val="2"/>
        </w:numPr>
        <w:rPr>
          <w:rFonts w:ascii="Times" w:hAnsi="Times"/>
        </w:rPr>
      </w:pPr>
      <w:r>
        <w:rPr>
          <w:rFonts w:ascii="Times" w:hAnsi="Times"/>
        </w:rPr>
        <w:t xml:space="preserve">Doublet identification w/ </w:t>
      </w:r>
      <w:proofErr w:type="spellStart"/>
      <w:r>
        <w:rPr>
          <w:rFonts w:ascii="Times" w:hAnsi="Times"/>
        </w:rPr>
        <w:t>demuxlet</w:t>
      </w:r>
      <w:proofErr w:type="spellEnd"/>
      <w:r>
        <w:rPr>
          <w:rFonts w:ascii="Times" w:hAnsi="Times"/>
        </w:rPr>
        <w:t xml:space="preserve"> </w:t>
      </w:r>
      <w:r>
        <w:rPr>
          <w:rFonts w:ascii="Times" w:hAnsi="Times"/>
        </w:rPr>
        <w:fldChar w:fldCharType="begin" w:fldLock="1"/>
      </w:r>
      <w:r w:rsidR="002929E5">
        <w:rPr>
          <w:rFonts w:ascii="Times" w:hAnsi="Times"/>
        </w:rPr>
        <w:instrText>ADDIN CSL_CITATION {"citationItems":[{"id":"ITEM-1","itemData":{"DOI":"10.1038/nbt.4042","ISBN":"9788778385116","ISSN":"15461696","PMID":"29227470","abstract":"Droplet single-cell RNA-seq is applied to large numbers of pooled samples from unrelated individuals.","author":[{"dropping-particle":"","family":"Kang","given":"Hyun Min","non-dropping-particle":"","parse-names":false,"suffix":""},{"dropping-particle":"","family":"Subramaniam","given":"Meena","non-dropping-particle":"","parse-names":false,"suffix":""},{"dropping-particle":"","family":"Targ","given":"Sasha","non-dropping-particle":"","parse-names":false,"suffix":""},{"dropping-particle":"","family":"Nguyen","given":"Michelle","non-dropping-particle":"","parse-names":false,"suffix":""},{"dropping-particle":"","family":"Maliskova","given":"Lenka","non-dropping-particle":"","parse-names":false,"suffix":""},{"dropping-particle":"","family":"McCarthy","given":"Elizabeth","non-dropping-particle":"","parse-names":false,"suffix":""},{"dropping-particle":"","family":"Wan","given":"Eunice","non-dropping-particle":"","parse-names":false,"suffix":""},{"dropping-particle":"","family":"Wong","given":"Simon","non-dropping-particle":"","parse-names":false,"suffix":""},{"dropping-particle":"","family":"Byrnes","given":"Lauren","non-dropping-particle":"","parse-names":false,"suffix":""},{"dropping-particle":"","family":"Lanata","given":"Cristina M.","non-dropping-particle":"","parse-names":false,"suffix":""},{"dropping-particle":"","family":"Gate","given":"Rachel E.","non-dropping-particle":"","parse-names":false,"suffix":""},{"dropping-particle":"","family":"Mostafavi","given":"Sara","non-dropping-particle":"","parse-names":false,"suffix":""},{"dropping-particle":"","family":"Marson","given":"Alexander","non-dropping-particle":"","parse-names":false,"suffix":""},{"dropping-particle":"","family":"Zaitlen","given":"Noah","non-dropping-particle":"","parse-names":false,"suffix":""},{"dropping-particle":"","family":"Criswell","given":"Lindsey A.","non-dropping-particle":"","parse-names":false,"suffix":""},{"dropping-particle":"","family":"Ye","given":"Chun Jimmie","non-dropping-particle":"","parse-names":false,"suffix":""}],"container-title":"Nature Biotechnology","id":"ITEM-1","issue":"1","issued":{"date-parts":[["2018"]]},"page":"89-94","title":"Multiplexed droplet single-cell RNA-sequencing using natural genetic variation","type":"article-journal","volume":"36"},"uris":["http://www.mendeley.com/documents/?uuid=28b74f53-aa40-461e-b806-0e49302d700b"]}],"mendeley":{"formattedCitation":"(Kang et al., 2018)","plainTextFormattedCitation":"(Kang et al., 2018)","previouslyFormattedCitation":"(Kang et al., 2018)"},"properties":{"noteIndex":0},"schema":"https://github.com/citation-style-language/schema/raw/master/csl-citation.json"}</w:instrText>
      </w:r>
      <w:r>
        <w:rPr>
          <w:rFonts w:ascii="Times" w:hAnsi="Times"/>
        </w:rPr>
        <w:fldChar w:fldCharType="separate"/>
      </w:r>
      <w:r w:rsidRPr="00F31850">
        <w:rPr>
          <w:rFonts w:ascii="Times" w:hAnsi="Times"/>
          <w:noProof/>
        </w:rPr>
        <w:t>(Kang et al., 2018)</w:t>
      </w:r>
      <w:r>
        <w:rPr>
          <w:rFonts w:ascii="Times" w:hAnsi="Times"/>
        </w:rPr>
        <w:fldChar w:fldCharType="end"/>
      </w:r>
    </w:p>
    <w:p w:rsidR="009F5A66" w:rsidRDefault="002C4CE8" w:rsidP="002C4CE8">
      <w:pPr>
        <w:pStyle w:val="ListParagraph"/>
        <w:numPr>
          <w:ilvl w:val="3"/>
          <w:numId w:val="2"/>
        </w:numPr>
        <w:rPr>
          <w:rFonts w:ascii="Times" w:hAnsi="Times"/>
        </w:rPr>
      </w:pPr>
      <w:r>
        <w:rPr>
          <w:rFonts w:ascii="Times" w:hAnsi="Times"/>
        </w:rPr>
        <w:t>Preprocessing</w:t>
      </w:r>
    </w:p>
    <w:p w:rsidR="009F5A66" w:rsidRDefault="003B322E" w:rsidP="009F5A66">
      <w:pPr>
        <w:pStyle w:val="ListParagraph"/>
        <w:numPr>
          <w:ilvl w:val="4"/>
          <w:numId w:val="2"/>
        </w:numPr>
        <w:rPr>
          <w:rFonts w:ascii="Times" w:hAnsi="Times"/>
        </w:rPr>
      </w:pPr>
      <w:r>
        <w:rPr>
          <w:rFonts w:ascii="Times" w:hAnsi="Times"/>
        </w:rPr>
        <w:t>Cell f</w:t>
      </w:r>
      <w:r w:rsidR="001942E2">
        <w:rPr>
          <w:rFonts w:ascii="Times" w:hAnsi="Times"/>
        </w:rPr>
        <w:t>iltering</w:t>
      </w:r>
      <w:r w:rsidR="009F5A66">
        <w:rPr>
          <w:rFonts w:ascii="Times" w:hAnsi="Times"/>
        </w:rPr>
        <w:t xml:space="preserve">: ~27k </w:t>
      </w:r>
      <w:r w:rsidR="009F5A66" w:rsidRPr="009F5A66">
        <w:rPr>
          <w:rFonts w:ascii="Times" w:hAnsi="Times"/>
        </w:rPr>
        <w:sym w:font="Wingdings" w:char="F0E8"/>
      </w:r>
      <w:r w:rsidR="009F5A66">
        <w:rPr>
          <w:rFonts w:ascii="Times" w:hAnsi="Times"/>
        </w:rPr>
        <w:t xml:space="preserve"> ~22k cells</w:t>
      </w:r>
    </w:p>
    <w:p w:rsidR="003B322E" w:rsidRDefault="003B322E" w:rsidP="009F5A66">
      <w:pPr>
        <w:pStyle w:val="ListParagraph"/>
        <w:numPr>
          <w:ilvl w:val="4"/>
          <w:numId w:val="2"/>
        </w:numPr>
        <w:rPr>
          <w:rFonts w:ascii="Times" w:hAnsi="Times"/>
        </w:rPr>
      </w:pPr>
      <w:r>
        <w:rPr>
          <w:rFonts w:ascii="Times" w:hAnsi="Times"/>
        </w:rPr>
        <w:t xml:space="preserve">Gene filtering ~25k </w:t>
      </w:r>
      <w:r w:rsidRPr="003B322E">
        <w:rPr>
          <w:rFonts w:ascii="Times" w:hAnsi="Times"/>
        </w:rPr>
        <w:sym w:font="Wingdings" w:char="F0E8"/>
      </w:r>
      <w:r>
        <w:rPr>
          <w:rFonts w:ascii="Times" w:hAnsi="Times"/>
        </w:rPr>
        <w:t xml:space="preserve"> ~22k genes</w:t>
      </w:r>
    </w:p>
    <w:p w:rsidR="009F5A66" w:rsidRDefault="009F5A66" w:rsidP="009F5A66">
      <w:pPr>
        <w:pStyle w:val="ListParagraph"/>
        <w:numPr>
          <w:ilvl w:val="4"/>
          <w:numId w:val="2"/>
        </w:numPr>
        <w:rPr>
          <w:rFonts w:ascii="Times" w:hAnsi="Times"/>
        </w:rPr>
      </w:pPr>
      <w:r>
        <w:rPr>
          <w:rFonts w:ascii="Times" w:hAnsi="Times"/>
        </w:rPr>
        <w:t>P</w:t>
      </w:r>
      <w:r w:rsidR="001942E2">
        <w:rPr>
          <w:rFonts w:ascii="Times" w:hAnsi="Times"/>
        </w:rPr>
        <w:t>rotein-coding only</w:t>
      </w:r>
      <w:r>
        <w:rPr>
          <w:rFonts w:ascii="Times" w:hAnsi="Times"/>
        </w:rPr>
        <w:t xml:space="preserve">: ~22k </w:t>
      </w:r>
      <w:r w:rsidRPr="009F5A66">
        <w:rPr>
          <w:rFonts w:ascii="Times" w:hAnsi="Times"/>
        </w:rPr>
        <w:sym w:font="Wingdings" w:char="F0E8"/>
      </w:r>
      <w:r>
        <w:rPr>
          <w:rFonts w:ascii="Times" w:hAnsi="Times"/>
        </w:rPr>
        <w:t xml:space="preserve"> ~14k</w:t>
      </w:r>
      <w:r w:rsidR="003B322E">
        <w:rPr>
          <w:rFonts w:ascii="Times" w:hAnsi="Times"/>
        </w:rPr>
        <w:t xml:space="preserve"> genes</w:t>
      </w:r>
    </w:p>
    <w:p w:rsidR="000932F0" w:rsidRDefault="009F5A66" w:rsidP="009F5A66">
      <w:pPr>
        <w:pStyle w:val="ListParagraph"/>
        <w:numPr>
          <w:ilvl w:val="4"/>
          <w:numId w:val="2"/>
        </w:numPr>
        <w:rPr>
          <w:rFonts w:ascii="Times" w:hAnsi="Times"/>
        </w:rPr>
      </w:pPr>
      <w:r>
        <w:rPr>
          <w:rFonts w:ascii="Times" w:hAnsi="Times"/>
        </w:rPr>
        <w:t>N</w:t>
      </w:r>
      <w:r w:rsidR="001942E2">
        <w:rPr>
          <w:rFonts w:ascii="Times" w:hAnsi="Times"/>
        </w:rPr>
        <w:t>ormalization</w:t>
      </w:r>
      <w:r w:rsidR="000932F0">
        <w:rPr>
          <w:rFonts w:ascii="Times" w:hAnsi="Times"/>
        </w:rPr>
        <w:t xml:space="preserve">: counts ~ </w:t>
      </w:r>
      <w:proofErr w:type="spellStart"/>
      <w:r w:rsidR="000932F0">
        <w:rPr>
          <w:rFonts w:ascii="Times" w:hAnsi="Times"/>
        </w:rPr>
        <w:t>nUMI</w:t>
      </w:r>
      <w:proofErr w:type="spellEnd"/>
      <w:r w:rsidR="000932F0">
        <w:rPr>
          <w:rFonts w:ascii="Times" w:hAnsi="Times"/>
        </w:rPr>
        <w:t xml:space="preserve"> + %mitochondrial genes</w:t>
      </w:r>
    </w:p>
    <w:p w:rsidR="002C4CE8" w:rsidRDefault="000932F0" w:rsidP="000932F0">
      <w:pPr>
        <w:pStyle w:val="ListParagraph"/>
        <w:numPr>
          <w:ilvl w:val="5"/>
          <w:numId w:val="2"/>
        </w:numPr>
        <w:rPr>
          <w:rFonts w:ascii="Times" w:hAnsi="Times"/>
        </w:rPr>
      </w:pPr>
      <w:r>
        <w:rPr>
          <w:rFonts w:ascii="Times" w:hAnsi="Times"/>
        </w:rPr>
        <w:t xml:space="preserve">Did not regress out individual ID because would remove any disease signal with such a small </w:t>
      </w:r>
      <w:r w:rsidR="008F60F6">
        <w:rPr>
          <w:rFonts w:ascii="Times" w:hAnsi="Times"/>
        </w:rPr>
        <w:t xml:space="preserve">individual-level </w:t>
      </w:r>
      <w:r>
        <w:rPr>
          <w:rFonts w:ascii="Times" w:hAnsi="Times"/>
        </w:rPr>
        <w:t xml:space="preserve">sample size.  </w:t>
      </w:r>
    </w:p>
    <w:p w:rsidR="001942E2" w:rsidRDefault="001942E2" w:rsidP="002C4CE8">
      <w:pPr>
        <w:pStyle w:val="ListParagraph"/>
        <w:numPr>
          <w:ilvl w:val="3"/>
          <w:numId w:val="2"/>
        </w:numPr>
        <w:rPr>
          <w:rFonts w:ascii="Times" w:hAnsi="Times"/>
        </w:rPr>
      </w:pPr>
      <w:r>
        <w:rPr>
          <w:rFonts w:ascii="Times" w:hAnsi="Times"/>
        </w:rPr>
        <w:t>Clustering (DR, Louvain)</w:t>
      </w:r>
    </w:p>
    <w:p w:rsidR="005C7E19" w:rsidRDefault="005C7E19" w:rsidP="002C4CE8">
      <w:pPr>
        <w:pStyle w:val="ListParagraph"/>
        <w:numPr>
          <w:ilvl w:val="3"/>
          <w:numId w:val="2"/>
        </w:numPr>
        <w:rPr>
          <w:rFonts w:ascii="Times" w:hAnsi="Times"/>
        </w:rPr>
      </w:pPr>
      <w:r>
        <w:rPr>
          <w:rFonts w:ascii="Times" w:hAnsi="Times"/>
        </w:rPr>
        <w:t xml:space="preserve">Cell type identification </w:t>
      </w:r>
    </w:p>
    <w:p w:rsidR="005C7E19" w:rsidRDefault="005C7E19" w:rsidP="005C7E19">
      <w:pPr>
        <w:pStyle w:val="ListParagraph"/>
        <w:numPr>
          <w:ilvl w:val="4"/>
          <w:numId w:val="2"/>
        </w:numPr>
        <w:rPr>
          <w:rFonts w:ascii="Times" w:hAnsi="Times"/>
        </w:rPr>
      </w:pPr>
      <w:r>
        <w:rPr>
          <w:rFonts w:ascii="Times" w:hAnsi="Times"/>
        </w:rPr>
        <w:t>Garnett (</w:t>
      </w:r>
      <w:r w:rsidR="00996738">
        <w:rPr>
          <w:rFonts w:ascii="Times" w:hAnsi="Times"/>
        </w:rPr>
        <w:t xml:space="preserve">w/ </w:t>
      </w:r>
      <w:r>
        <w:rPr>
          <w:rFonts w:ascii="Times" w:hAnsi="Times"/>
        </w:rPr>
        <w:t>provided PBMC dataset, and Villani dataset)</w:t>
      </w:r>
    </w:p>
    <w:p w:rsidR="008F60F6" w:rsidRDefault="008F60F6" w:rsidP="008F60F6">
      <w:pPr>
        <w:pStyle w:val="ListParagraph"/>
        <w:numPr>
          <w:ilvl w:val="3"/>
          <w:numId w:val="2"/>
        </w:numPr>
        <w:rPr>
          <w:rFonts w:ascii="Times" w:hAnsi="Times"/>
        </w:rPr>
      </w:pPr>
      <w:r>
        <w:rPr>
          <w:rFonts w:ascii="Times" w:hAnsi="Times"/>
        </w:rPr>
        <w:t>Cell type distribution</w:t>
      </w:r>
      <w:bookmarkStart w:id="0" w:name="_GoBack"/>
      <w:bookmarkEnd w:id="0"/>
    </w:p>
    <w:p w:rsidR="008F60F6" w:rsidRDefault="008F60F6" w:rsidP="008F60F6">
      <w:pPr>
        <w:pStyle w:val="ListParagraph"/>
        <w:numPr>
          <w:ilvl w:val="4"/>
          <w:numId w:val="2"/>
        </w:numPr>
        <w:rPr>
          <w:rFonts w:ascii="Times" w:hAnsi="Times"/>
        </w:rPr>
      </w:pPr>
      <w:r>
        <w:rPr>
          <w:rFonts w:ascii="Times" w:hAnsi="Times"/>
        </w:rPr>
        <w:t>Test # of PD vs. controls cells within each cluster.</w:t>
      </w:r>
    </w:p>
    <w:p w:rsidR="001942E2" w:rsidRDefault="001942E2" w:rsidP="002C4CE8">
      <w:pPr>
        <w:pStyle w:val="ListParagraph"/>
        <w:numPr>
          <w:ilvl w:val="3"/>
          <w:numId w:val="2"/>
        </w:numPr>
        <w:rPr>
          <w:rFonts w:ascii="Times" w:hAnsi="Times"/>
        </w:rPr>
      </w:pPr>
      <w:r>
        <w:rPr>
          <w:rFonts w:ascii="Times" w:hAnsi="Times"/>
        </w:rPr>
        <w:t>DGE</w:t>
      </w:r>
    </w:p>
    <w:p w:rsidR="002A5694" w:rsidRDefault="002A5694" w:rsidP="002A5694">
      <w:pPr>
        <w:pStyle w:val="ListParagraph"/>
        <w:numPr>
          <w:ilvl w:val="4"/>
          <w:numId w:val="2"/>
        </w:numPr>
        <w:rPr>
          <w:rFonts w:ascii="Times" w:hAnsi="Times"/>
        </w:rPr>
      </w:pPr>
      <w:r>
        <w:rPr>
          <w:rFonts w:ascii="Times" w:hAnsi="Times"/>
        </w:rPr>
        <w:t xml:space="preserve">Method1: Monocle3 DGE w/ </w:t>
      </w:r>
      <w:r w:rsidRPr="002A5694">
        <w:rPr>
          <w:rFonts w:ascii="Times" w:hAnsi="Times"/>
        </w:rPr>
        <w:t>quasi</w:t>
      </w:r>
      <w:r w:rsidR="00436E28">
        <w:rPr>
          <w:rFonts w:ascii="Times" w:hAnsi="Times"/>
        </w:rPr>
        <w:t>-</w:t>
      </w:r>
      <w:r w:rsidR="00436E28" w:rsidRPr="002A5694">
        <w:rPr>
          <w:rFonts w:ascii="Times" w:hAnsi="Times"/>
        </w:rPr>
        <w:t>Poisson</w:t>
      </w:r>
      <w:r>
        <w:rPr>
          <w:rFonts w:ascii="Times" w:hAnsi="Times"/>
        </w:rPr>
        <w:t xml:space="preserve"> distribution.</w:t>
      </w:r>
    </w:p>
    <w:p w:rsidR="002A5694" w:rsidRDefault="002A5694" w:rsidP="002A5694">
      <w:pPr>
        <w:pStyle w:val="ListParagraph"/>
        <w:numPr>
          <w:ilvl w:val="4"/>
          <w:numId w:val="2"/>
        </w:numPr>
        <w:rPr>
          <w:rFonts w:ascii="Times" w:hAnsi="Times"/>
        </w:rPr>
      </w:pPr>
      <w:r>
        <w:rPr>
          <w:rFonts w:ascii="Times" w:hAnsi="Times"/>
        </w:rPr>
        <w:t>Method2: Effie’s robust iterative pipeline.</w:t>
      </w:r>
    </w:p>
    <w:p w:rsidR="00564250" w:rsidRDefault="00564250" w:rsidP="008F60F6">
      <w:pPr>
        <w:pStyle w:val="ListParagraph"/>
        <w:numPr>
          <w:ilvl w:val="4"/>
          <w:numId w:val="2"/>
        </w:numPr>
        <w:rPr>
          <w:rFonts w:ascii="Times" w:hAnsi="Times"/>
        </w:rPr>
      </w:pPr>
      <w:r>
        <w:rPr>
          <w:rFonts w:ascii="Times" w:hAnsi="Times"/>
        </w:rPr>
        <w:t>Across Clusters</w:t>
      </w:r>
    </w:p>
    <w:p w:rsidR="00564250" w:rsidRDefault="00564250" w:rsidP="008F60F6">
      <w:pPr>
        <w:pStyle w:val="ListParagraph"/>
        <w:numPr>
          <w:ilvl w:val="5"/>
          <w:numId w:val="2"/>
        </w:numPr>
        <w:rPr>
          <w:rFonts w:ascii="Times" w:hAnsi="Times"/>
        </w:rPr>
      </w:pPr>
      <w:r>
        <w:rPr>
          <w:rFonts w:ascii="Times" w:hAnsi="Times"/>
        </w:rPr>
        <w:t>PD vs. Controls</w:t>
      </w:r>
    </w:p>
    <w:p w:rsidR="00564250" w:rsidRDefault="00564250" w:rsidP="008F60F6">
      <w:pPr>
        <w:pStyle w:val="ListParagraph"/>
        <w:numPr>
          <w:ilvl w:val="5"/>
          <w:numId w:val="2"/>
        </w:numPr>
        <w:rPr>
          <w:rFonts w:ascii="Times" w:hAnsi="Times"/>
        </w:rPr>
      </w:pPr>
      <w:r>
        <w:rPr>
          <w:rFonts w:ascii="Times" w:hAnsi="Times"/>
        </w:rPr>
        <w:t>PD vs. GBA</w:t>
      </w:r>
    </w:p>
    <w:p w:rsidR="00564250" w:rsidRDefault="00564250" w:rsidP="008F60F6">
      <w:pPr>
        <w:pStyle w:val="ListParagraph"/>
        <w:numPr>
          <w:ilvl w:val="4"/>
          <w:numId w:val="2"/>
        </w:numPr>
        <w:rPr>
          <w:rFonts w:ascii="Times" w:hAnsi="Times"/>
        </w:rPr>
      </w:pPr>
      <w:r>
        <w:rPr>
          <w:rFonts w:ascii="Times" w:hAnsi="Times"/>
        </w:rPr>
        <w:t>Between Clusters</w:t>
      </w:r>
    </w:p>
    <w:p w:rsidR="00564250" w:rsidRPr="00DC45DD" w:rsidRDefault="00564250" w:rsidP="008F60F6">
      <w:pPr>
        <w:pStyle w:val="ListParagraph"/>
        <w:numPr>
          <w:ilvl w:val="5"/>
          <w:numId w:val="2"/>
        </w:numPr>
        <w:rPr>
          <w:rFonts w:ascii="Times" w:hAnsi="Times"/>
        </w:rPr>
      </w:pPr>
      <w:r>
        <w:rPr>
          <w:rFonts w:ascii="Times" w:hAnsi="Times"/>
        </w:rPr>
        <w:t>Cluster 1 (canonical) vs. Cluster 2 (intermediate)</w:t>
      </w:r>
    </w:p>
    <w:p w:rsidR="00564250" w:rsidRDefault="00564250" w:rsidP="008F60F6">
      <w:pPr>
        <w:pStyle w:val="ListParagraph"/>
        <w:numPr>
          <w:ilvl w:val="4"/>
          <w:numId w:val="2"/>
        </w:numPr>
        <w:rPr>
          <w:rFonts w:ascii="Times" w:hAnsi="Times"/>
        </w:rPr>
      </w:pPr>
      <w:r>
        <w:rPr>
          <w:rFonts w:ascii="Times" w:hAnsi="Times"/>
        </w:rPr>
        <w:t>Within Clusters</w:t>
      </w:r>
    </w:p>
    <w:p w:rsidR="00564250" w:rsidRDefault="00564250" w:rsidP="008F60F6">
      <w:pPr>
        <w:pStyle w:val="ListParagraph"/>
        <w:numPr>
          <w:ilvl w:val="5"/>
          <w:numId w:val="2"/>
        </w:numPr>
        <w:rPr>
          <w:rFonts w:ascii="Times" w:hAnsi="Times"/>
        </w:rPr>
      </w:pPr>
      <w:r>
        <w:rPr>
          <w:rFonts w:ascii="Times" w:hAnsi="Times"/>
        </w:rPr>
        <w:t>PD vs. Controls</w:t>
      </w:r>
    </w:p>
    <w:p w:rsidR="00564250" w:rsidRPr="00564250" w:rsidRDefault="00564250" w:rsidP="008F60F6">
      <w:pPr>
        <w:pStyle w:val="ListParagraph"/>
        <w:numPr>
          <w:ilvl w:val="5"/>
          <w:numId w:val="2"/>
        </w:numPr>
        <w:rPr>
          <w:rFonts w:ascii="Times" w:hAnsi="Times"/>
        </w:rPr>
      </w:pPr>
      <w:r>
        <w:rPr>
          <w:rFonts w:ascii="Times" w:hAnsi="Times"/>
        </w:rPr>
        <w:t>PD vs. GBA</w:t>
      </w:r>
    </w:p>
    <w:p w:rsidR="001942E2" w:rsidRDefault="001942E2" w:rsidP="002C4CE8">
      <w:pPr>
        <w:pStyle w:val="ListParagraph"/>
        <w:numPr>
          <w:ilvl w:val="3"/>
          <w:numId w:val="2"/>
        </w:numPr>
        <w:rPr>
          <w:rFonts w:ascii="Times" w:hAnsi="Times"/>
        </w:rPr>
      </w:pPr>
      <w:r>
        <w:rPr>
          <w:rFonts w:ascii="Times" w:hAnsi="Times"/>
        </w:rPr>
        <w:t>Enrichment</w:t>
      </w:r>
      <w:r w:rsidR="00357D0F">
        <w:rPr>
          <w:rFonts w:ascii="Times" w:hAnsi="Times"/>
        </w:rPr>
        <w:t xml:space="preserve"> of DGE</w:t>
      </w:r>
    </w:p>
    <w:p w:rsidR="00357D0F" w:rsidRDefault="00357D0F" w:rsidP="00357D0F">
      <w:pPr>
        <w:pStyle w:val="ListParagraph"/>
        <w:numPr>
          <w:ilvl w:val="4"/>
          <w:numId w:val="2"/>
        </w:numPr>
        <w:rPr>
          <w:rFonts w:ascii="Times" w:hAnsi="Times"/>
        </w:rPr>
      </w:pPr>
      <w:r>
        <w:rPr>
          <w:rFonts w:ascii="Times" w:hAnsi="Times"/>
        </w:rPr>
        <w:t>GO terms (gprofiler</w:t>
      </w:r>
      <w:r w:rsidR="00F43F98">
        <w:rPr>
          <w:rFonts w:ascii="Times" w:hAnsi="Times"/>
        </w:rPr>
        <w:t>2</w:t>
      </w:r>
      <w:r>
        <w:rPr>
          <w:rFonts w:ascii="Times" w:hAnsi="Times"/>
        </w:rPr>
        <w:t>)</w:t>
      </w:r>
      <w:r w:rsidR="002929E5" w:rsidRPr="002929E5">
        <w:rPr>
          <w:rFonts w:ascii="Times" w:hAnsi="Times"/>
        </w:rPr>
        <w:t xml:space="preserve"> </w:t>
      </w:r>
      <w:r w:rsidR="002929E5">
        <w:rPr>
          <w:rFonts w:ascii="Times" w:hAnsi="Times"/>
        </w:rPr>
        <w:fldChar w:fldCharType="begin" w:fldLock="1"/>
      </w:r>
      <w:r w:rsidR="00ED0095">
        <w:rPr>
          <w:rFonts w:ascii="Times" w:hAnsi="Times"/>
        </w:rPr>
        <w:instrText>ADDIN CSL_CITATION {"citationItems":[{"id":"ITEM-1","itemData":{"DOI":"10.1093/nar/gkz369","ISSN":"0305-1048","abstract":"Biological data analysis often deals with lists of genes arising from various studies. The g:Profiler toolset is widely used for finding biological categories enriched in gene lists, conversions between gene identifiers and mappings to their orthologs. The mission of g:Profiler is to provide a reliable service based on up-to-date high quality data in a convenient manner across many evidence types, identifier spaces and organisms. g:Profiler relies on Ensembl as a primary data source and follows their quarterly release cycle while updating the other data sources simultaneously. The current update provides a better user experience due to a modern responsive web interface, standardised API and libraries. The results are delivered through an interactive and configurable web design. Results can be downloaded as publication ready visualisations or delimited text files. In the current update we have extended the support to 467 species and strains, including vertebrates, plants, fungi, insects and parasites. By supporting user uploaded custom GMT files, g:Profiler is now capable of analysing data from any organism. All past releases are maintained for reproducibility and transparency. The 2019 update introduces an extensive technical rewrite making the services faster and more flexible. g:Profiler is freely available at https://biit.cs.ut.ee/gprofiler.","author":[{"dropping-particle":"","family":"Raudvere","given":"Uku","non-dropping-particle":"","parse-names":false,"suffix":""},{"dropping-particle":"","family":"Kolberg","given":"Liis","non-dropping-particle":"","parse-names":false,"suffix":""},{"dropping-particle":"","family":"Kuzmin","given":"Ivan","non-dropping-particle":"","parse-names":false,"suffix":""},{"dropping-particle":"","family":"Arak","given":"Tambet","non-dropping-particle":"","parse-names":false,"suffix":""},{"dropping-particle":"","family":"Adler","given":"Priit","non-dropping-particle":"","parse-names":false,"suffix":""},{"dropping-particle":"","family":"Peterson","given":"Hedi","non-dropping-particle":"","parse-names":false,"suffix":""},{"dropping-particle":"","family":"Vilo","given":"Jaak","non-dropping-particle":"","parse-names":false,"suffix":""}],"container-title":"Nucleic Acids Research","id":"ITEM-1","issue":"W1","issued":{"date-parts":[["2019"]]},"page":"W191-W198","publisher":"Oxford University Press","title":"g:Profiler: a web server for functional enrichment analysis and conversions of gene lists (2019 update)","type":"article-journal","volume":"47"},"uris":["http://www.mendeley.com/documents/?uuid=c51fc3de-bd15-4516-8587-cc98a9c0109e"]}],"mendeley":{"formattedCitation":"(Raudvere et al., 2019)","plainTextFormattedCitation":"(Raudvere et al., 2019)","previouslyFormattedCitation":"(Raudvere et al., 2019)"},"properties":{"noteIndex":0},"schema":"https://github.com/citation-style-language/schema/raw/master/csl-citation.json"}</w:instrText>
      </w:r>
      <w:r w:rsidR="002929E5">
        <w:rPr>
          <w:rFonts w:ascii="Times" w:hAnsi="Times"/>
        </w:rPr>
        <w:fldChar w:fldCharType="separate"/>
      </w:r>
      <w:r w:rsidR="002929E5" w:rsidRPr="002929E5">
        <w:rPr>
          <w:rFonts w:ascii="Times" w:hAnsi="Times"/>
          <w:noProof/>
        </w:rPr>
        <w:t>(Raudvere et al., 2019)</w:t>
      </w:r>
      <w:r w:rsidR="002929E5">
        <w:rPr>
          <w:rFonts w:ascii="Times" w:hAnsi="Times"/>
        </w:rPr>
        <w:fldChar w:fldCharType="end"/>
      </w:r>
    </w:p>
    <w:p w:rsidR="00357D0F" w:rsidRDefault="00357D0F" w:rsidP="00357D0F">
      <w:pPr>
        <w:pStyle w:val="ListParagraph"/>
        <w:numPr>
          <w:ilvl w:val="4"/>
          <w:numId w:val="2"/>
        </w:numPr>
        <w:rPr>
          <w:rFonts w:ascii="Times" w:hAnsi="Times"/>
        </w:rPr>
      </w:pPr>
      <w:r>
        <w:rPr>
          <w:rFonts w:ascii="Times" w:hAnsi="Times"/>
        </w:rPr>
        <w:t>PD GWAS gene list</w:t>
      </w:r>
      <w:r w:rsidR="00ED0095">
        <w:rPr>
          <w:rFonts w:ascii="Times" w:hAnsi="Times"/>
        </w:rPr>
        <w:t xml:space="preserve"> </w:t>
      </w:r>
      <w:r w:rsidR="00ED0095">
        <w:rPr>
          <w:rFonts w:ascii="Times" w:hAnsi="Times"/>
        </w:rPr>
        <w:fldChar w:fldCharType="begin" w:fldLock="1"/>
      </w:r>
      <w:r w:rsidR="00E71768">
        <w:rPr>
          <w:rFonts w:ascii="Times" w:hAnsi="Times"/>
        </w:rPr>
        <w:instrText>ADDIN CSL_CITATION {"citationItems":[{"id":"ITEM-1","itemData":{"author":[{"dropping-particle":"","family":"Hujoel","given":"Margaux L A","non-dropping-particle":"","parse-names":false,"suffix":""},{"dropping-particle":"","family":"Gazal","given":"Steven","non-dropping-particle":"","parse-names":false,"suffix":""},{"dropping-particle":"","family":"Loh","given":"Po-ru","non-dropping-particle":"","parse-names":false,"suffix":""},{"dropping-particle":"","family":"Patterson","given":"Nick","non-dropping-particle":"","parse-names":false,"suffix":""},{"dropping-particle":"","family":"Alkes","given":"L","non-dropping-particle":"","parse-names":false,"suffix":""}],"id":"ITEM-1","issued":{"date-parts":[["2019"]]},"page":"1-20","title":"Combining case-control status and family history of disease increases association power","type":"article-journal"},"uris":["http://www.mendeley.com/documents/?uuid=fe7a71d6-7825-49e6-b4ad-7a8a0f118079"]},{"id":"ITEM-2","itemData":{"DOI":"http://dx.doi.org/10.1101/388165","author":[{"dropping-particle":"","family":"Nalls","given":"Mike","non-dropping-particle":"","parse-names":false,"suffix":""}],"container-title":"Bioarxiv","id":"ITEM-2","issued":{"date-parts":[["2018"]]},"title":"Parkinson’s disease genetics: identifying novel risk loci, providing causal insights and improving estimates of heritable risk","type":"article-journal"},"uris":["http://www.mendeley.com/documents/?uuid=10355991-22f9-4e41-8acb-d0fb6cec614e"]},{"id":"ITEM-3","itemData":{"DOI":"10.1038/ng.3955","ISBN":"11:83544472","ISSN":"15461718","PMID":"28892059","abstract":"Robert Graham and colleagues carried out a GWAS meta-analysis for Parkinson's disease (PD) and report 17 new risk loci. Their analyses support a key role for autophagy and lysosomal biology in PD risk.","author":[{"dropping-particle":"","family":"Chang","given":"Diana","non-dropping-particle":"","parse-names":false,"suffix":""},{"dropping-particle":"","family":"Nalls","given":"Mike A.","non-dropping-particle":"","parse-names":false,"suffix":""},{"dropping-particle":"","family":"Hallgrímsdottir","given":"Ingileif B.","non-dropping-particle":"","parse-names":false,"suffix":""},{"dropping-particle":"","family":"Hunkapiller","given":"Julie","non-dropping-particle":"","parse-names":false,"suffix":""},{"dropping-particle":"","family":"Brug","given":"Marcel","non-dropping-particle":"Van Der","parse-names":false,"suffix":""},{"dropping-particle":"","family":"Cai","given":"Fang","non-dropping-particle":"","parse-names":false,"suffix":""},{"dropping-particle":"","family":"Kerchner","given":"Geoffrey A.","non-dropping-particle":"","parse-names":false,"suffix":""},{"dropping-particle":"","family":"Ayalon","given":"Gai","non-dropping-particle":"","parse-names":false,"suffix":""},{"dropping-particle":"","family":"Bingol","given":"Baris","non-dropping-particle":"","parse-names":false,"suffix":""},{"dropping-particle":"","family":"Sheng","given":"Morgan","non-dropping-particle":"","parse-names":false,"suffix":""},{"dropping-particle":"","family":"Hinds","given":"David","non-dropping-particle":"","parse-names":false,"suffix":""},{"dropping-particle":"","family":"Behrens","given":"Timothy W.","non-dropping-particle":"","parse-names":false,"suffix":""},{"dropping-particle":"","family":"Singleton","given":"Andrew B.","non-dropping-particle":"","parse-names":false,"suffix":""},{"dropping-particle":"","family":"Bhangale","given":"Tushar R.","non-dropping-particle":"","parse-names":false,"suffix":""},{"dropping-particle":"","family":"Graham","given":"Robert R.","non-dropping-particle":"","parse-names":false,"suffix":""}],"container-title":"Nature Genetics","id":"ITEM-3","issue":"10","issued":{"date-parts":[["2017"]]},"page":"1511-1516","publisher":"Nature Publishing Group","title":"A meta-analysis of genome-wide association studies identifies 17 new Parkinson's disease risk loci","type":"article-journal","volume":"49"},"uris":["http://www.mendeley.com/documents/?uuid=fb888180-868e-471d-b591-29b34261a7a0"]}],"mendeley":{"formattedCitation":"(Chang et al., 2017; Hujoel, Gazal, Loh, Patterson, &amp; Alkes, 2019; M. Nalls, 2018)","plainTextFormattedCitation":"(Chang et al., 2017; Hujoel, Gazal, Loh, Patterson, &amp; Alkes, 2019; M. Nalls, 2018)","previouslyFormattedCitation":"(Chang et al., 2017; Hujoel, Gazal, Loh, Patterson, &amp; Alkes, 2019; M. Nalls, 2018)"},"properties":{"noteIndex":0},"schema":"https://github.com/citation-style-language/schema/raw/master/csl-citation.json"}</w:instrText>
      </w:r>
      <w:r w:rsidR="00ED0095">
        <w:rPr>
          <w:rFonts w:ascii="Times" w:hAnsi="Times"/>
        </w:rPr>
        <w:fldChar w:fldCharType="separate"/>
      </w:r>
      <w:r w:rsidR="00E71768" w:rsidRPr="00E71768">
        <w:rPr>
          <w:rFonts w:ascii="Times" w:hAnsi="Times"/>
          <w:noProof/>
        </w:rPr>
        <w:t>(Chang et al., 2017; Hujoel, Gazal, Loh, Patterson, &amp; Alkes, 2019; M. Nalls, 2018)</w:t>
      </w:r>
      <w:r w:rsidR="00ED0095">
        <w:rPr>
          <w:rFonts w:ascii="Times" w:hAnsi="Times"/>
        </w:rPr>
        <w:fldChar w:fldCharType="end"/>
      </w:r>
    </w:p>
    <w:p w:rsidR="00357D0F" w:rsidRDefault="00357D0F" w:rsidP="00357D0F">
      <w:pPr>
        <w:pStyle w:val="ListParagraph"/>
        <w:numPr>
          <w:ilvl w:val="4"/>
          <w:numId w:val="2"/>
        </w:numPr>
        <w:rPr>
          <w:rFonts w:ascii="Times" w:hAnsi="Times"/>
        </w:rPr>
      </w:pPr>
      <w:r>
        <w:rPr>
          <w:rFonts w:ascii="Times" w:hAnsi="Times"/>
        </w:rPr>
        <w:t>AD GWAS gene list</w:t>
      </w:r>
      <w:r w:rsidR="00DC45DD">
        <w:rPr>
          <w:rFonts w:ascii="Times" w:hAnsi="Times"/>
        </w:rPr>
        <w:t xml:space="preserve"> </w:t>
      </w:r>
    </w:p>
    <w:p w:rsidR="001942E2" w:rsidRDefault="001942E2" w:rsidP="002C4CE8">
      <w:pPr>
        <w:pStyle w:val="ListParagraph"/>
        <w:numPr>
          <w:ilvl w:val="3"/>
          <w:numId w:val="2"/>
        </w:numPr>
        <w:rPr>
          <w:rFonts w:ascii="Times" w:hAnsi="Times"/>
        </w:rPr>
      </w:pPr>
      <w:r>
        <w:rPr>
          <w:rFonts w:ascii="Times" w:hAnsi="Times"/>
        </w:rPr>
        <w:t>Networks</w:t>
      </w:r>
    </w:p>
    <w:p w:rsidR="00475790" w:rsidRDefault="00475790" w:rsidP="00475790">
      <w:pPr>
        <w:pStyle w:val="ListParagraph"/>
        <w:numPr>
          <w:ilvl w:val="4"/>
          <w:numId w:val="2"/>
        </w:numPr>
        <w:rPr>
          <w:rFonts w:ascii="Times" w:hAnsi="Times"/>
        </w:rPr>
      </w:pPr>
      <w:r>
        <w:rPr>
          <w:rFonts w:ascii="Times" w:hAnsi="Times"/>
        </w:rPr>
        <w:t>UMAP + Louvain</w:t>
      </w:r>
      <w:r w:rsidR="003B322E">
        <w:rPr>
          <w:rFonts w:ascii="Times" w:hAnsi="Times"/>
        </w:rPr>
        <w:t xml:space="preserve"> w/ 1000 most variable genes (using Seurat </w:t>
      </w:r>
      <w:proofErr w:type="spellStart"/>
      <w:r w:rsidR="003B322E">
        <w:rPr>
          <w:rFonts w:ascii="Times" w:hAnsi="Times"/>
        </w:rPr>
        <w:t>fineVariableGenes</w:t>
      </w:r>
      <w:proofErr w:type="spellEnd"/>
      <w:r w:rsidR="003B322E">
        <w:rPr>
          <w:rFonts w:ascii="Times" w:hAnsi="Times"/>
        </w:rPr>
        <w:t xml:space="preserve"> function)</w:t>
      </w:r>
    </w:p>
    <w:p w:rsidR="00475790" w:rsidRDefault="00475790" w:rsidP="00475790">
      <w:pPr>
        <w:pStyle w:val="ListParagraph"/>
        <w:numPr>
          <w:ilvl w:val="4"/>
          <w:numId w:val="2"/>
        </w:numPr>
        <w:rPr>
          <w:rFonts w:ascii="Times" w:hAnsi="Times"/>
        </w:rPr>
      </w:pPr>
      <w:r>
        <w:rPr>
          <w:rFonts w:ascii="Times" w:hAnsi="Times"/>
        </w:rPr>
        <w:t>WGCNA?</w:t>
      </w:r>
    </w:p>
    <w:p w:rsidR="00475790" w:rsidRPr="00076054" w:rsidRDefault="00475790" w:rsidP="00475790">
      <w:pPr>
        <w:pStyle w:val="ListParagraph"/>
        <w:numPr>
          <w:ilvl w:val="4"/>
          <w:numId w:val="2"/>
        </w:numPr>
        <w:rPr>
          <w:rFonts w:ascii="Times" w:hAnsi="Times"/>
        </w:rPr>
      </w:pPr>
      <w:proofErr w:type="spellStart"/>
      <w:r>
        <w:rPr>
          <w:rFonts w:ascii="Times" w:hAnsi="Times"/>
        </w:rPr>
        <w:t>PINSplus</w:t>
      </w:r>
      <w:proofErr w:type="spellEnd"/>
      <w:r w:rsidR="000F2D5F">
        <w:rPr>
          <w:rFonts w:ascii="Times" w:hAnsi="Times"/>
        </w:rPr>
        <w:t>/consensus clustering</w:t>
      </w:r>
      <w:r>
        <w:rPr>
          <w:rFonts w:ascii="Times" w:hAnsi="Times"/>
        </w:rPr>
        <w:t>?</w:t>
      </w:r>
    </w:p>
    <w:p w:rsidR="00076054" w:rsidRDefault="00076054" w:rsidP="00076054">
      <w:pPr>
        <w:pStyle w:val="ListParagraph"/>
        <w:numPr>
          <w:ilvl w:val="1"/>
          <w:numId w:val="2"/>
        </w:numPr>
        <w:rPr>
          <w:rFonts w:ascii="Times" w:hAnsi="Times"/>
        </w:rPr>
      </w:pPr>
      <w:r>
        <w:rPr>
          <w:rFonts w:ascii="Times" w:hAnsi="Times"/>
        </w:rPr>
        <w:t xml:space="preserve">bulk RNA-seq </w:t>
      </w:r>
      <w:r w:rsidR="0068273A">
        <w:rPr>
          <w:rFonts w:ascii="Times" w:hAnsi="Times"/>
        </w:rPr>
        <w:tab/>
      </w:r>
    </w:p>
    <w:p w:rsidR="0068273A" w:rsidRDefault="0068273A" w:rsidP="0068273A">
      <w:pPr>
        <w:pStyle w:val="ListParagraph"/>
        <w:numPr>
          <w:ilvl w:val="2"/>
          <w:numId w:val="2"/>
        </w:numPr>
        <w:rPr>
          <w:rFonts w:ascii="Times" w:hAnsi="Times"/>
        </w:rPr>
      </w:pPr>
      <w:r>
        <w:rPr>
          <w:rFonts w:ascii="Times" w:hAnsi="Times"/>
        </w:rPr>
        <w:t>Samples: 237 donors (101 Controls, 136 PD)</w:t>
      </w:r>
    </w:p>
    <w:p w:rsidR="002F7846" w:rsidRDefault="002F7846" w:rsidP="0068273A">
      <w:pPr>
        <w:pStyle w:val="ListParagraph"/>
        <w:numPr>
          <w:ilvl w:val="2"/>
          <w:numId w:val="2"/>
        </w:numPr>
        <w:rPr>
          <w:rFonts w:ascii="Times" w:hAnsi="Times"/>
        </w:rPr>
      </w:pPr>
      <w:r>
        <w:rPr>
          <w:rFonts w:ascii="Times" w:hAnsi="Times"/>
        </w:rPr>
        <w:t>Pr</w:t>
      </w:r>
      <w:r w:rsidR="004E6300">
        <w:rPr>
          <w:rFonts w:ascii="Times" w:hAnsi="Times"/>
        </w:rPr>
        <w:t>e</w:t>
      </w:r>
      <w:r>
        <w:rPr>
          <w:rFonts w:ascii="Times" w:hAnsi="Times"/>
        </w:rPr>
        <w:t>processing:</w:t>
      </w:r>
    </w:p>
    <w:p w:rsidR="002F7846" w:rsidRDefault="002F7846" w:rsidP="002F7846">
      <w:pPr>
        <w:pStyle w:val="ListParagraph"/>
        <w:numPr>
          <w:ilvl w:val="3"/>
          <w:numId w:val="2"/>
        </w:numPr>
        <w:rPr>
          <w:rFonts w:ascii="Times" w:hAnsi="Times"/>
        </w:rPr>
      </w:pPr>
      <w:r>
        <w:rPr>
          <w:rFonts w:ascii="Times" w:hAnsi="Times"/>
        </w:rPr>
        <w:t>11,473 genes after QC and protein-coding filtering.</w:t>
      </w:r>
    </w:p>
    <w:p w:rsidR="004E6300" w:rsidRDefault="004E6300" w:rsidP="004E6300">
      <w:pPr>
        <w:pStyle w:val="ListParagraph"/>
        <w:numPr>
          <w:ilvl w:val="2"/>
          <w:numId w:val="2"/>
        </w:numPr>
        <w:rPr>
          <w:rFonts w:ascii="Times" w:hAnsi="Times"/>
        </w:rPr>
      </w:pPr>
      <w:r>
        <w:rPr>
          <w:rFonts w:ascii="Times" w:hAnsi="Times"/>
        </w:rPr>
        <w:t xml:space="preserve">WGCNA networks </w:t>
      </w:r>
    </w:p>
    <w:p w:rsidR="00076054" w:rsidRDefault="00076054" w:rsidP="00076054">
      <w:pPr>
        <w:pStyle w:val="ListParagraph"/>
        <w:numPr>
          <w:ilvl w:val="2"/>
          <w:numId w:val="2"/>
        </w:numPr>
        <w:rPr>
          <w:rFonts w:ascii="Times" w:hAnsi="Times"/>
        </w:rPr>
      </w:pPr>
      <w:r>
        <w:rPr>
          <w:rFonts w:ascii="Times" w:hAnsi="Times"/>
        </w:rPr>
        <w:lastRenderedPageBreak/>
        <w:t>Data Collection (brief summary w/ reference to prior publications)</w:t>
      </w:r>
    </w:p>
    <w:p w:rsidR="00AB37E3" w:rsidRDefault="00AB37E3" w:rsidP="00AB37E3">
      <w:pPr>
        <w:pStyle w:val="ListParagraph"/>
        <w:numPr>
          <w:ilvl w:val="1"/>
          <w:numId w:val="2"/>
        </w:numPr>
        <w:rPr>
          <w:rFonts w:ascii="Times" w:hAnsi="Times"/>
        </w:rPr>
      </w:pPr>
      <w:r>
        <w:rPr>
          <w:rFonts w:ascii="Times" w:hAnsi="Times"/>
        </w:rPr>
        <w:t xml:space="preserve">bulk </w:t>
      </w:r>
      <w:r w:rsidR="00996738">
        <w:rPr>
          <w:rFonts w:ascii="Times" w:hAnsi="Times"/>
        </w:rPr>
        <w:t>vs.</w:t>
      </w:r>
      <w:r>
        <w:rPr>
          <w:rFonts w:ascii="Times" w:hAnsi="Times"/>
        </w:rPr>
        <w:t xml:space="preserve"> </w:t>
      </w:r>
      <w:proofErr w:type="spellStart"/>
      <w:r>
        <w:rPr>
          <w:rFonts w:ascii="Times" w:hAnsi="Times"/>
        </w:rPr>
        <w:t>sc</w:t>
      </w:r>
      <w:proofErr w:type="spellEnd"/>
      <w:r>
        <w:rPr>
          <w:rFonts w:ascii="Times" w:hAnsi="Times"/>
        </w:rPr>
        <w:t xml:space="preserve"> </w:t>
      </w:r>
      <w:r w:rsidR="00996738">
        <w:rPr>
          <w:rFonts w:ascii="Times" w:hAnsi="Times"/>
        </w:rPr>
        <w:t>modules</w:t>
      </w:r>
    </w:p>
    <w:p w:rsidR="00AB37E3" w:rsidRPr="00AB37E3" w:rsidRDefault="00AB37E3" w:rsidP="00AB37E3">
      <w:pPr>
        <w:pStyle w:val="ListParagraph"/>
        <w:numPr>
          <w:ilvl w:val="2"/>
          <w:numId w:val="2"/>
        </w:numPr>
        <w:rPr>
          <w:rFonts w:ascii="Times" w:hAnsi="Times"/>
        </w:rPr>
      </w:pPr>
      <w:r>
        <w:rPr>
          <w:rFonts w:ascii="Times" w:hAnsi="Times"/>
        </w:rPr>
        <w:t>module-module overlap/enrichment (gene-level, term-level)</w:t>
      </w:r>
    </w:p>
    <w:p w:rsidR="00076054" w:rsidRPr="00076054" w:rsidRDefault="00076054" w:rsidP="00076054">
      <w:pPr>
        <w:pStyle w:val="ListParagraph"/>
        <w:numPr>
          <w:ilvl w:val="1"/>
          <w:numId w:val="2"/>
        </w:numPr>
        <w:rPr>
          <w:rFonts w:ascii="Times" w:hAnsi="Times"/>
        </w:rPr>
      </w:pPr>
      <w:r>
        <w:rPr>
          <w:rFonts w:ascii="Times" w:hAnsi="Times"/>
        </w:rPr>
        <w:t>Script</w:t>
      </w:r>
      <w:r w:rsidR="005C7E19">
        <w:rPr>
          <w:rFonts w:ascii="Times" w:hAnsi="Times"/>
        </w:rPr>
        <w:t>s</w:t>
      </w:r>
      <w:r>
        <w:rPr>
          <w:rFonts w:ascii="Times" w:hAnsi="Times"/>
        </w:rPr>
        <w:t xml:space="preserve"> and data availability</w:t>
      </w:r>
    </w:p>
    <w:p w:rsidR="00076054" w:rsidRDefault="00076054" w:rsidP="005054EF">
      <w:pPr>
        <w:pStyle w:val="ListParagraph"/>
        <w:numPr>
          <w:ilvl w:val="0"/>
          <w:numId w:val="2"/>
        </w:numPr>
        <w:rPr>
          <w:rFonts w:ascii="Times" w:hAnsi="Times"/>
          <w:b/>
          <w:bCs/>
        </w:rPr>
      </w:pPr>
      <w:r>
        <w:rPr>
          <w:rFonts w:ascii="Times" w:hAnsi="Times"/>
          <w:b/>
          <w:bCs/>
        </w:rPr>
        <w:t>Results</w:t>
      </w:r>
    </w:p>
    <w:p w:rsidR="001942E2" w:rsidRDefault="00076054" w:rsidP="001942E2">
      <w:pPr>
        <w:pStyle w:val="ListParagraph"/>
        <w:numPr>
          <w:ilvl w:val="1"/>
          <w:numId w:val="2"/>
        </w:numPr>
        <w:rPr>
          <w:rFonts w:ascii="Times" w:hAnsi="Times"/>
        </w:rPr>
      </w:pPr>
      <w:proofErr w:type="spellStart"/>
      <w:r w:rsidRPr="00076054">
        <w:rPr>
          <w:rFonts w:ascii="Times" w:hAnsi="Times"/>
        </w:rPr>
        <w:t>scRNA</w:t>
      </w:r>
      <w:proofErr w:type="spellEnd"/>
      <w:r w:rsidRPr="00076054">
        <w:rPr>
          <w:rFonts w:ascii="Times" w:hAnsi="Times"/>
        </w:rPr>
        <w:t>-seq</w:t>
      </w:r>
    </w:p>
    <w:p w:rsidR="009116D1" w:rsidRDefault="009116D1" w:rsidP="001942E2">
      <w:pPr>
        <w:pStyle w:val="ListParagraph"/>
        <w:numPr>
          <w:ilvl w:val="2"/>
          <w:numId w:val="2"/>
        </w:numPr>
        <w:rPr>
          <w:rFonts w:ascii="Times" w:hAnsi="Times"/>
        </w:rPr>
      </w:pPr>
      <w:r>
        <w:rPr>
          <w:rFonts w:ascii="Times" w:hAnsi="Times"/>
        </w:rPr>
        <w:t>Good individual-level mixing</w:t>
      </w:r>
      <w:r w:rsidR="000932F0">
        <w:rPr>
          <w:rFonts w:ascii="Times" w:hAnsi="Times"/>
        </w:rPr>
        <w:t xml:space="preserve"> in all clusters</w:t>
      </w:r>
    </w:p>
    <w:p w:rsidR="00996738" w:rsidRDefault="001942E2" w:rsidP="001942E2">
      <w:pPr>
        <w:pStyle w:val="ListParagraph"/>
        <w:numPr>
          <w:ilvl w:val="2"/>
          <w:numId w:val="2"/>
        </w:numPr>
        <w:rPr>
          <w:rFonts w:ascii="Times" w:hAnsi="Times"/>
        </w:rPr>
      </w:pPr>
      <w:r>
        <w:rPr>
          <w:rFonts w:ascii="Times" w:hAnsi="Times"/>
        </w:rPr>
        <w:t xml:space="preserve">Cell </w:t>
      </w:r>
      <w:r w:rsidR="00076054">
        <w:rPr>
          <w:rFonts w:ascii="Times" w:hAnsi="Times"/>
        </w:rPr>
        <w:t>cluster</w:t>
      </w:r>
      <w:r>
        <w:rPr>
          <w:rFonts w:ascii="Times" w:hAnsi="Times"/>
        </w:rPr>
        <w:t xml:space="preserve"> c</w:t>
      </w:r>
      <w:r w:rsidRPr="001942E2">
        <w:rPr>
          <w:rFonts w:ascii="Times" w:hAnsi="Times"/>
        </w:rPr>
        <w:t>ell type identification</w:t>
      </w:r>
      <w:r w:rsidR="00996738">
        <w:rPr>
          <w:rFonts w:ascii="Times" w:hAnsi="Times"/>
        </w:rPr>
        <w:t>:</w:t>
      </w:r>
    </w:p>
    <w:p w:rsidR="001942E2" w:rsidRDefault="00996738" w:rsidP="00996738">
      <w:pPr>
        <w:pStyle w:val="ListParagraph"/>
        <w:numPr>
          <w:ilvl w:val="3"/>
          <w:numId w:val="2"/>
        </w:numPr>
        <w:rPr>
          <w:rFonts w:ascii="Times" w:hAnsi="Times"/>
        </w:rPr>
      </w:pPr>
      <w:r>
        <w:rPr>
          <w:rFonts w:ascii="Times" w:hAnsi="Times"/>
        </w:rPr>
        <w:t>K</w:t>
      </w:r>
      <w:r w:rsidR="001942E2" w:rsidRPr="001942E2">
        <w:rPr>
          <w:rFonts w:ascii="Times" w:hAnsi="Times"/>
        </w:rPr>
        <w:t>ey markers, Garnett</w:t>
      </w:r>
      <w:r>
        <w:rPr>
          <w:rFonts w:ascii="Times" w:hAnsi="Times"/>
        </w:rPr>
        <w:t xml:space="preserve"> (w/ provided PBMC dataset, and Villani dataset)</w:t>
      </w:r>
    </w:p>
    <w:p w:rsidR="001942E2" w:rsidRDefault="00996738" w:rsidP="001942E2">
      <w:pPr>
        <w:pStyle w:val="ListParagraph"/>
        <w:numPr>
          <w:ilvl w:val="2"/>
          <w:numId w:val="2"/>
        </w:numPr>
        <w:rPr>
          <w:rFonts w:ascii="Times" w:hAnsi="Times"/>
        </w:rPr>
      </w:pPr>
      <w:r>
        <w:rPr>
          <w:rFonts w:ascii="Times" w:hAnsi="Times"/>
        </w:rPr>
        <w:t>DGE</w:t>
      </w:r>
    </w:p>
    <w:p w:rsidR="00DC45DD" w:rsidRDefault="00DC45DD" w:rsidP="00DC45DD">
      <w:pPr>
        <w:pStyle w:val="ListParagraph"/>
        <w:numPr>
          <w:ilvl w:val="3"/>
          <w:numId w:val="2"/>
        </w:numPr>
        <w:rPr>
          <w:rFonts w:ascii="Times" w:hAnsi="Times"/>
        </w:rPr>
      </w:pPr>
      <w:r>
        <w:rPr>
          <w:rFonts w:ascii="Times" w:hAnsi="Times"/>
        </w:rPr>
        <w:t>Across Clusters</w:t>
      </w:r>
    </w:p>
    <w:p w:rsidR="00DC45DD" w:rsidRDefault="00DC45DD" w:rsidP="00DC45DD">
      <w:pPr>
        <w:pStyle w:val="ListParagraph"/>
        <w:numPr>
          <w:ilvl w:val="4"/>
          <w:numId w:val="2"/>
        </w:numPr>
        <w:rPr>
          <w:rFonts w:ascii="Times" w:hAnsi="Times"/>
        </w:rPr>
      </w:pPr>
      <w:r>
        <w:rPr>
          <w:rFonts w:ascii="Times" w:hAnsi="Times"/>
        </w:rPr>
        <w:t>PD vs. Controls</w:t>
      </w:r>
    </w:p>
    <w:p w:rsidR="00DC45DD" w:rsidRDefault="00DC45DD" w:rsidP="00DC45DD">
      <w:pPr>
        <w:pStyle w:val="ListParagraph"/>
        <w:numPr>
          <w:ilvl w:val="4"/>
          <w:numId w:val="2"/>
        </w:numPr>
        <w:rPr>
          <w:rFonts w:ascii="Times" w:hAnsi="Times"/>
        </w:rPr>
      </w:pPr>
      <w:r>
        <w:rPr>
          <w:rFonts w:ascii="Times" w:hAnsi="Times"/>
        </w:rPr>
        <w:t>PD vs. GBA</w:t>
      </w:r>
    </w:p>
    <w:p w:rsidR="00DC45DD" w:rsidRDefault="00DC45DD" w:rsidP="00DC45DD">
      <w:pPr>
        <w:pStyle w:val="ListParagraph"/>
        <w:numPr>
          <w:ilvl w:val="3"/>
          <w:numId w:val="2"/>
        </w:numPr>
        <w:rPr>
          <w:rFonts w:ascii="Times" w:hAnsi="Times"/>
        </w:rPr>
      </w:pPr>
      <w:r>
        <w:rPr>
          <w:rFonts w:ascii="Times" w:hAnsi="Times"/>
        </w:rPr>
        <w:t>Between Clusters</w:t>
      </w:r>
    </w:p>
    <w:p w:rsidR="00DC45DD" w:rsidRDefault="00DC45DD" w:rsidP="00DC45DD">
      <w:pPr>
        <w:pStyle w:val="ListParagraph"/>
        <w:numPr>
          <w:ilvl w:val="4"/>
          <w:numId w:val="2"/>
        </w:numPr>
        <w:rPr>
          <w:rFonts w:ascii="Times" w:hAnsi="Times"/>
        </w:rPr>
      </w:pPr>
      <w:r>
        <w:rPr>
          <w:rFonts w:ascii="Times" w:hAnsi="Times"/>
        </w:rPr>
        <w:t>Cluster 1 (canonical) vs. Cluster 2 (intermediate)</w:t>
      </w:r>
    </w:p>
    <w:p w:rsidR="008F60F6" w:rsidRDefault="008F60F6" w:rsidP="00DC45DD">
      <w:pPr>
        <w:pStyle w:val="ListParagraph"/>
        <w:numPr>
          <w:ilvl w:val="4"/>
          <w:numId w:val="2"/>
        </w:numPr>
        <w:rPr>
          <w:rFonts w:ascii="Times" w:hAnsi="Times"/>
        </w:rPr>
      </w:pPr>
      <w:r>
        <w:rPr>
          <w:rFonts w:ascii="Times" w:hAnsi="Times"/>
        </w:rPr>
        <w:t xml:space="preserve">1619/12929 genes (12.5%) were DE at </w:t>
      </w:r>
      <w:r w:rsidR="00DE5C9A">
        <w:rPr>
          <w:rFonts w:ascii="Times" w:hAnsi="Times"/>
        </w:rPr>
        <w:t>Bonferroni</w:t>
      </w:r>
      <w:r>
        <w:rPr>
          <w:rFonts w:ascii="Times" w:hAnsi="Times"/>
        </w:rPr>
        <w:t xml:space="preserve">-corrected p-value </w:t>
      </w:r>
      <w:r>
        <w:rPr>
          <w:rFonts w:ascii="Times" w:hAnsi="Times"/>
        </w:rPr>
        <w:sym w:font="Symbol" w:char="F0A3"/>
      </w:r>
      <w:r>
        <w:rPr>
          <w:rFonts w:ascii="Times" w:hAnsi="Times"/>
        </w:rPr>
        <w:t xml:space="preserve"> 0.05.</w:t>
      </w:r>
    </w:p>
    <w:p w:rsidR="00903232" w:rsidRDefault="00903232" w:rsidP="00903232">
      <w:pPr>
        <w:pStyle w:val="ListParagraph"/>
        <w:numPr>
          <w:ilvl w:val="4"/>
          <w:numId w:val="2"/>
        </w:numPr>
        <w:rPr>
          <w:rFonts w:ascii="Times" w:hAnsi="Times"/>
        </w:rPr>
      </w:pPr>
      <w:r>
        <w:rPr>
          <w:rFonts w:ascii="Times" w:hAnsi="Times"/>
        </w:rPr>
        <w:t>Enriched GO terms (</w:t>
      </w:r>
      <w:proofErr w:type="spellStart"/>
      <w:r>
        <w:rPr>
          <w:rFonts w:ascii="Times" w:hAnsi="Times"/>
        </w:rPr>
        <w:t>enrichR</w:t>
      </w:r>
      <w:proofErr w:type="spellEnd"/>
      <w:r>
        <w:rPr>
          <w:rFonts w:ascii="Times" w:hAnsi="Times"/>
        </w:rPr>
        <w:t>):</w:t>
      </w:r>
    </w:p>
    <w:p w:rsidR="00903232" w:rsidRPr="00903232" w:rsidRDefault="00903232" w:rsidP="00903232">
      <w:pPr>
        <w:pStyle w:val="ListParagraph"/>
        <w:numPr>
          <w:ilvl w:val="5"/>
          <w:numId w:val="2"/>
        </w:numPr>
        <w:rPr>
          <w:rFonts w:ascii="Times" w:hAnsi="Times"/>
        </w:rPr>
      </w:pPr>
      <w:r w:rsidRPr="00903232">
        <w:rPr>
          <w:rFonts w:ascii="Times" w:hAnsi="Times"/>
        </w:rPr>
        <w:t>Inflammatory processes</w:t>
      </w:r>
    </w:p>
    <w:p w:rsidR="00903232" w:rsidRPr="00903232" w:rsidRDefault="00903232" w:rsidP="00903232">
      <w:pPr>
        <w:pStyle w:val="ListParagraph"/>
        <w:numPr>
          <w:ilvl w:val="5"/>
          <w:numId w:val="2"/>
        </w:numPr>
        <w:rPr>
          <w:rFonts w:ascii="Times" w:hAnsi="Times"/>
        </w:rPr>
      </w:pPr>
      <w:r w:rsidRPr="00903232">
        <w:rPr>
          <w:rFonts w:ascii="Times" w:hAnsi="Times"/>
        </w:rPr>
        <w:t>Immune response</w:t>
      </w:r>
    </w:p>
    <w:p w:rsidR="00903232" w:rsidRPr="00903232" w:rsidRDefault="00903232" w:rsidP="00903232">
      <w:pPr>
        <w:pStyle w:val="ListParagraph"/>
        <w:numPr>
          <w:ilvl w:val="5"/>
          <w:numId w:val="2"/>
        </w:numPr>
        <w:rPr>
          <w:rFonts w:ascii="Times" w:hAnsi="Times"/>
        </w:rPr>
      </w:pPr>
      <w:proofErr w:type="spellStart"/>
      <w:r w:rsidRPr="00903232">
        <w:rPr>
          <w:rFonts w:ascii="Times" w:hAnsi="Times"/>
        </w:rPr>
        <w:t>Chrohn’s</w:t>
      </w:r>
      <w:proofErr w:type="spellEnd"/>
      <w:r w:rsidRPr="00903232">
        <w:rPr>
          <w:rFonts w:ascii="Times" w:hAnsi="Times"/>
        </w:rPr>
        <w:t xml:space="preserve"> disease</w:t>
      </w:r>
    </w:p>
    <w:p w:rsidR="00903232" w:rsidRPr="00903232" w:rsidRDefault="00903232" w:rsidP="00903232">
      <w:pPr>
        <w:pStyle w:val="ListParagraph"/>
        <w:numPr>
          <w:ilvl w:val="5"/>
          <w:numId w:val="2"/>
        </w:numPr>
        <w:rPr>
          <w:rFonts w:ascii="Times" w:hAnsi="Times"/>
        </w:rPr>
      </w:pPr>
      <w:r w:rsidRPr="00903232">
        <w:rPr>
          <w:rFonts w:ascii="Times" w:hAnsi="Times"/>
        </w:rPr>
        <w:t>Blood-brain barrier</w:t>
      </w:r>
    </w:p>
    <w:p w:rsidR="00903232" w:rsidRPr="00903232" w:rsidRDefault="00903232" w:rsidP="00903232">
      <w:pPr>
        <w:pStyle w:val="ListParagraph"/>
        <w:numPr>
          <w:ilvl w:val="5"/>
          <w:numId w:val="2"/>
        </w:numPr>
        <w:rPr>
          <w:rFonts w:ascii="Times" w:hAnsi="Times"/>
        </w:rPr>
      </w:pPr>
      <w:r w:rsidRPr="00903232">
        <w:rPr>
          <w:rFonts w:ascii="Times" w:hAnsi="Times"/>
        </w:rPr>
        <w:t>Recruitment of leukocytes</w:t>
      </w:r>
    </w:p>
    <w:p w:rsidR="00903232" w:rsidRPr="00903232" w:rsidRDefault="00903232" w:rsidP="00903232">
      <w:pPr>
        <w:pStyle w:val="ListParagraph"/>
        <w:numPr>
          <w:ilvl w:val="5"/>
          <w:numId w:val="2"/>
        </w:numPr>
        <w:rPr>
          <w:rFonts w:ascii="Times" w:hAnsi="Times"/>
        </w:rPr>
      </w:pPr>
      <w:r w:rsidRPr="00903232">
        <w:rPr>
          <w:rFonts w:ascii="Times" w:hAnsi="Times"/>
        </w:rPr>
        <w:t>Promotion of cytokine/</w:t>
      </w:r>
    </w:p>
    <w:p w:rsidR="00903232" w:rsidRPr="00903232" w:rsidRDefault="00DE5C9A" w:rsidP="00903232">
      <w:pPr>
        <w:pStyle w:val="ListParagraph"/>
        <w:numPr>
          <w:ilvl w:val="5"/>
          <w:numId w:val="2"/>
        </w:numPr>
        <w:rPr>
          <w:rFonts w:ascii="Times" w:hAnsi="Times"/>
        </w:rPr>
      </w:pPr>
      <w:r>
        <w:rPr>
          <w:rFonts w:ascii="Times" w:hAnsi="Times"/>
        </w:rPr>
        <w:t>C</w:t>
      </w:r>
      <w:r w:rsidR="00903232" w:rsidRPr="00903232">
        <w:rPr>
          <w:rFonts w:ascii="Times" w:hAnsi="Times"/>
        </w:rPr>
        <w:t>hemokine production</w:t>
      </w:r>
    </w:p>
    <w:p w:rsidR="00903232" w:rsidRDefault="00903232" w:rsidP="00DC45DD">
      <w:pPr>
        <w:pStyle w:val="ListParagraph"/>
        <w:numPr>
          <w:ilvl w:val="4"/>
          <w:numId w:val="2"/>
        </w:numPr>
        <w:rPr>
          <w:rFonts w:ascii="Times" w:hAnsi="Times"/>
        </w:rPr>
      </w:pPr>
      <w:r>
        <w:rPr>
          <w:rFonts w:ascii="Times" w:hAnsi="Times"/>
        </w:rPr>
        <w:t xml:space="preserve">Huge percentage DGEs bind to RAGE receptor (S100A[x]) </w:t>
      </w:r>
      <w:r w:rsidR="005564F8">
        <w:rPr>
          <w:rFonts w:ascii="Times" w:hAnsi="Times"/>
        </w:rPr>
        <w:fldChar w:fldCharType="begin" w:fldLock="1"/>
      </w:r>
      <w:r w:rsidR="005564F8">
        <w:rPr>
          <w:rFonts w:ascii="Times" w:hAnsi="Times"/>
        </w:rPr>
        <w:instrText>ADDIN CSL_CITATION {"citationItems":[{"id":"ITEM-1","itemData":{"DOI":"10.1016/0197-4580(92)90002-F","ISSN":"01974580","abstract":"The confirming diagnosis of Alzheimer's disease includes an assessment of the concentration of neuritic plaques in the temporal lobe of the brain. The presence of abnormal levels of neurotrophic factors in Alzheimer's disease is one possible explanation for the increased concentration of aggregates of overgrown neurites in the neuritic plaques of Alzheimer's disease. The protein S100β, a neurotrophic factor produced by astroglia in the brain, induces neurite outgrowth in cerebral cortical neurons. The generation of specific S100β antibodies, the cloning of a full-length cDNA encoding the S100β mRNA, and the development of a neurite extension assay system for S100β allowed testing of the hypothesis that Alzheimer's disease S100β expression is elevated in brain temporal lobe where neuritic plaques are concentrated. The levels of S100β protein, mRNA, and specific neurotrophic activity were elevated 10-20-fold in extracts of temporal lobe from autopsy samples of Alzheimer's disease patients compared to those of aged control patients. The cells containing the increased S100β were reactive astrocytes; the neuritic plaques were surrounded by S100β-containing astrocytes. The elevated levels of S100β provides a link between the prominent reactive gliosis and neuritic plaque formation in this common disease of the elderly and raises the possibility that S100β contributes to Alzheimer's disease neuropathology. © 1991.","author":[{"dropping-particle":"","family":"Marshak","given":"Daniel R.","non-dropping-particle":"","parse-names":false,"suffix":""},{"dropping-particle":"","family":"Pesce","given":"Susan Ann","non-dropping-particle":"","parse-names":false,"suffix":""},{"dropping-particle":"","family":"Stanley","given":"Laura C.","non-dropping-particle":"","parse-names":false,"suffix":""},{"dropping-particle":"","family":"Griffin","given":"W. Sue T.","non-dropping-particle":"","parse-names":false,"suffix":""}],"container-title":"Neurobiology of Aging","id":"ITEM-1","issue":"1","issued":{"date-parts":[["1992"]]},"page":"1-7","title":"Increased S100β neurotrophic activity in Alzheimer's disease temporal lobe","type":"article-journal","volume":"13"},"uris":["http://www.mendeley.com/documents/?uuid=ac9a30f7-e1db-4352-b7b5-ee3111dd36bd"]},{"id":"ITEM-2","itemData":{"DOI":"10.3389/fimmu.2017.01908","ISBN":"1664-3224","ISSN":"16643224","PMID":"29379499","abstract":"The S100 proteins, a family of calcium-binding cytosolic proteins, have a broad range of intracellular and extracellular functions through regulating calcium balance, cell apoptosis, migration, proliferation, differentiation, energy metabolism, and inflammation. The intracellular functions of S100 proteins involve interaction with intracellular receptors, membrane protein recruitment/transportation, transcriptional regulation and integrating with enzymes or nucleic acids and DNA repair. The S100 proteins could also be released from the cytoplasm, induced by tissue/cell damage and cellular stress. The extracellular S100 proteins, serving as a danger signal, are crucial in regulating immune homeostasis, post-traumatic injury, and inflammation. Extracellular S100 proteins are also considered biomarkers for some specific diseases. In this review, we will discuss the multi-functional roles of S100 proteins, especially their potential roles associated with cell migration, differentiation, tissue repair and inflammation.","author":[{"dropping-particle":"","family":"Xia","given":"Chang","non-dropping-particle":"","parse-names":false,"suffix":""},{"dropping-particle":"","family":"Braunstein","given":"Zachary","non-dropping-particle":"","parse-names":false,"suffix":""},{"dropping-particle":"","family":"Toomey","given":"Amelia C.","non-dropping-particle":"","parse-names":false,"suffix":""},{"dropping-particle":"","family":"Zhong","given":"Jixin","non-dropping-particle":"","parse-names":false,"suffix":""},{"dropping-particle":"","family":"Rao","given":"Xiaoquan","non-dropping-particle":"","parse-names":false,"suffix":""}],"container-title":"Frontiers in Immunology","id":"ITEM-2","issue":"JAN","issued":{"date-parts":[["2018"]]},"page":"1-11","title":"S100 proteins as an important regulator of macrophage inflammation","type":"article-journal","volume":"8"},"uris":["http://www.mendeley.com/documents/?uuid=74f9daca-f222-4a18-9726-848f73769548"]},{"id":"ITEM-3","itemData":{"DOI":"10.1016/s0092-8674(00)80801-6","ISSN":"00928674","abstract":"S100/calgranulin polypeptides are present at sites of inflammation, likely released by inflammatory cells targeted to such loci by a range of environmental cues. We report here that receptor for AGE (RAGE) is a central cell surface receptor for EN-RAGE (e xtracellular n ewly identified RAGE-binding protein) and related members of the S100/calgranulin superfamily. Interaction of EN-RAGEs with cellular RAGE on endothelium, mononuclear phagocytes, and lymphocytes triggers cellular activation, with generation of key proinflammatory mediators. Blockade of EN-RAGE/RAGE quenches delayed-type hypersensitivity and inflammatory colitis in murine models by arresting activation of central signaling pathways and expression of inflammatory gene mediators. These data highlight a novel paradigm in inflammation and identify roles for EN-RAGEs and RAGE in chronic cellular activation and tissue injury.","author":[{"dropping-particle":"","family":"Hofmann","given":"Marion A","non-dropping-particle":"","parse-names":false,"suffix":""},{"dropping-particle":"","family":"Drury","given":"Steven","non-dropping-particle":"","parse-names":false,"suffix":""},{"dropping-particle":"","family":"Fu","given":"Caifeng","non-dropping-particle":"","parse-names":false,"suffix":""},{"dropping-particle":"","family":"Qu","given":"Wu","non-dropping-particle":"","parse-names":false,"suffix":""},{"dropping-particle":"","family":"Taguchi","given":"Akihiko","non-dropping-particle":"","parse-names":false,"suffix":""},{"dropping-particle":"","family":"Lu","given":"Yan","non-dropping-particle":"","parse-names":false,"suffix":""},{"dropping-particle":"","family":"Avila","given":"Cecilia","non-dropping-particle":"","parse-names":false,"suffix":""},{"dropping-particle":"","family":"Kambham","given":"Neeraja","non-dropping-particle":"","parse-names":false,"suffix":""},{"dropping-particle":"","family":"Bierhaus","given":"Angelika","non-dropping-particle":"","parse-names":false,"suffix":""},{"dropping-particle":"","family":"Nawroth","given":"Peter","non-dropping-particle":"","parse-names":false,"suffix":""},{"dropping-particle":"","family":"Neurath","given":"Markus F","non-dropping-particle":"","parse-names":false,"suffix":""},{"dropping-particle":"","family":"Slattery","given":"Timothy","non-dropping-particle":"","parse-names":false,"suffix":""},{"dropping-particle":"","family":"Beach","given":"Dale","non-dropping-particle":"","parse-names":false,"suffix":""},{"dropping-particle":"","family":"McClary","given":"John","non-dropping-particle":"","parse-names":false,"suffix":""},{"dropping-particle":"","family":"Nagashima","given":"Mariko","non-dropping-particle":"","parse-names":false,"suffix":""},{"dropping-particle":"","family":"Morser","given":"John","non-dropping-particle":"","parse-names":false,"suffix":""},{"dropping-particle":"","family":"Stern","given":"David","non-dropping-particle":"","parse-names":false,"suffix":""},{"dropping-particle":"","family":"Schmidt","given":"Ann Marie","non-dropping-particle":"","parse-names":false,"suffix":""}],"container-title":"Cell","id":"ITEM-3","issue":"7","issued":{"date-parts":[["1999"]]},"page":"889-901","title":"RAGE Mediates a Novel Proinflammatory Axis: A Central Cell Surface Receptor for S100/Calgranulin Polypeptides","type":"article-journal","volume":"97"},"uris":["http://www.mendeley.com/documents/?uuid=c36a2499-e101-4d30-93b0-56f212ddac1b"]}],"mendeley":{"formattedCitation":"(Hofmann et al., 1999; Marshak, Pesce, Stanley, &amp; Griffin, 1992; Xia, Braunstein, Toomey, Zhong, &amp; Rao, 2018)","plainTextFormattedCitation":"(Hofmann et al., 1999; Marshak, Pesce, Stanley, &amp; Griffin, 1992; Xia, Braunstein, Toomey, Zhong, &amp; Rao, 2018)","previouslyFormattedCitation":"(Hofmann et al., 1999; Marshak, Pesce, Stanley, &amp; Griffin, 1992; Xia, Braunstein, Toomey, Zhong, &amp; Rao, 2018)"},"properties":{"noteIndex":0},"schema":"https://github.com/citation-style-language/schema/raw/master/csl-citation.json"}</w:instrText>
      </w:r>
      <w:r w:rsidR="005564F8">
        <w:rPr>
          <w:rFonts w:ascii="Times" w:hAnsi="Times"/>
        </w:rPr>
        <w:fldChar w:fldCharType="separate"/>
      </w:r>
      <w:r w:rsidR="005564F8" w:rsidRPr="005564F8">
        <w:rPr>
          <w:rFonts w:ascii="Times" w:hAnsi="Times"/>
          <w:noProof/>
        </w:rPr>
        <w:t>(Hofmann et al., 1999; Marshak, Pesce, Stanley, &amp; Griffin, 1992; Xia, Braunstein, Toomey, Zhong, &amp; Rao, 2018)</w:t>
      </w:r>
      <w:r w:rsidR="005564F8">
        <w:rPr>
          <w:rFonts w:ascii="Times" w:hAnsi="Times"/>
        </w:rPr>
        <w:fldChar w:fldCharType="end"/>
      </w:r>
      <w:r>
        <w:rPr>
          <w:rFonts w:ascii="Times" w:hAnsi="Times"/>
        </w:rPr>
        <w:t>.</w:t>
      </w:r>
    </w:p>
    <w:p w:rsidR="005564F8" w:rsidRDefault="005564F8" w:rsidP="005564F8">
      <w:pPr>
        <w:pStyle w:val="ListParagraph"/>
        <w:numPr>
          <w:ilvl w:val="5"/>
          <w:numId w:val="2"/>
        </w:numPr>
        <w:rPr>
          <w:rFonts w:ascii="Times" w:hAnsi="Times"/>
        </w:rPr>
      </w:pPr>
      <w:r>
        <w:rPr>
          <w:rFonts w:ascii="Times" w:hAnsi="Times"/>
        </w:rPr>
        <w:t xml:space="preserve">RAGE gene (AGER) itself is DE at p=0.003 </w:t>
      </w:r>
      <w:proofErr w:type="spellStart"/>
      <w:r>
        <w:rPr>
          <w:rFonts w:ascii="Times" w:hAnsi="Times"/>
        </w:rPr>
        <w:t>LogDC</w:t>
      </w:r>
      <w:proofErr w:type="spellEnd"/>
      <w:r>
        <w:rPr>
          <w:rFonts w:ascii="Times" w:hAnsi="Times"/>
        </w:rPr>
        <w:t>, 0.3), but not significant.</w:t>
      </w:r>
    </w:p>
    <w:p w:rsidR="005564F8" w:rsidRPr="00DC45DD" w:rsidRDefault="00F772D7" w:rsidP="005564F8">
      <w:pPr>
        <w:pStyle w:val="ListParagraph"/>
        <w:numPr>
          <w:ilvl w:val="5"/>
          <w:numId w:val="2"/>
        </w:numPr>
        <w:rPr>
          <w:rFonts w:ascii="Times" w:hAnsi="Times"/>
        </w:rPr>
      </w:pPr>
      <w:r>
        <w:rPr>
          <w:rFonts w:ascii="Times" w:hAnsi="Times"/>
        </w:rPr>
        <w:t xml:space="preserve">RAGE receptor binding appears in </w:t>
      </w:r>
      <w:proofErr w:type="spellStart"/>
      <w:r>
        <w:rPr>
          <w:rFonts w:ascii="Times" w:hAnsi="Times"/>
        </w:rPr>
        <w:t>enrichR</w:t>
      </w:r>
      <w:proofErr w:type="spellEnd"/>
      <w:r>
        <w:rPr>
          <w:rFonts w:ascii="Times" w:hAnsi="Times"/>
        </w:rPr>
        <w:t xml:space="preserve"> results.</w:t>
      </w:r>
    </w:p>
    <w:p w:rsidR="00DC45DD" w:rsidRDefault="00DC45DD" w:rsidP="00DC45DD">
      <w:pPr>
        <w:pStyle w:val="ListParagraph"/>
        <w:numPr>
          <w:ilvl w:val="3"/>
          <w:numId w:val="2"/>
        </w:numPr>
        <w:rPr>
          <w:rFonts w:ascii="Times" w:hAnsi="Times"/>
        </w:rPr>
      </w:pPr>
      <w:r>
        <w:rPr>
          <w:rFonts w:ascii="Times" w:hAnsi="Times"/>
        </w:rPr>
        <w:t>Within Clusters</w:t>
      </w:r>
    </w:p>
    <w:p w:rsidR="001B3A54" w:rsidRDefault="001B3A54" w:rsidP="001B3A54">
      <w:pPr>
        <w:pStyle w:val="ListParagraph"/>
        <w:numPr>
          <w:ilvl w:val="4"/>
          <w:numId w:val="2"/>
        </w:numPr>
        <w:rPr>
          <w:rFonts w:ascii="Times" w:hAnsi="Times"/>
        </w:rPr>
      </w:pPr>
      <w:r>
        <w:rPr>
          <w:rFonts w:ascii="Times" w:hAnsi="Times"/>
        </w:rPr>
        <w:t>PD vs. Controls</w:t>
      </w:r>
    </w:p>
    <w:p w:rsidR="001B3A54" w:rsidRPr="001B3A54" w:rsidRDefault="001B3A54" w:rsidP="001B3A54">
      <w:pPr>
        <w:pStyle w:val="ListParagraph"/>
        <w:numPr>
          <w:ilvl w:val="4"/>
          <w:numId w:val="2"/>
        </w:numPr>
        <w:rPr>
          <w:rFonts w:ascii="Times" w:hAnsi="Times"/>
        </w:rPr>
      </w:pPr>
      <w:r>
        <w:rPr>
          <w:rFonts w:ascii="Times" w:hAnsi="Times"/>
        </w:rPr>
        <w:t>PD vs. GBA</w:t>
      </w:r>
    </w:p>
    <w:p w:rsidR="00996738" w:rsidRDefault="00996738" w:rsidP="001942E2">
      <w:pPr>
        <w:pStyle w:val="ListParagraph"/>
        <w:numPr>
          <w:ilvl w:val="2"/>
          <w:numId w:val="2"/>
        </w:numPr>
        <w:rPr>
          <w:rFonts w:ascii="Times" w:hAnsi="Times"/>
        </w:rPr>
      </w:pPr>
      <w:r>
        <w:rPr>
          <w:rFonts w:ascii="Times" w:hAnsi="Times"/>
        </w:rPr>
        <w:t>Enrichmen</w:t>
      </w:r>
      <w:r w:rsidR="00357D0F">
        <w:rPr>
          <w:rFonts w:ascii="Times" w:hAnsi="Times"/>
        </w:rPr>
        <w:t>t of DGE</w:t>
      </w:r>
    </w:p>
    <w:p w:rsidR="00357D0F" w:rsidRDefault="00357D0F" w:rsidP="00357D0F">
      <w:pPr>
        <w:pStyle w:val="ListParagraph"/>
        <w:numPr>
          <w:ilvl w:val="3"/>
          <w:numId w:val="2"/>
        </w:numPr>
        <w:rPr>
          <w:rFonts w:ascii="Times" w:hAnsi="Times"/>
        </w:rPr>
      </w:pPr>
      <w:r>
        <w:rPr>
          <w:rFonts w:ascii="Times" w:hAnsi="Times"/>
        </w:rPr>
        <w:t>GO terms (gprofiler</w:t>
      </w:r>
      <w:r w:rsidR="002929E5">
        <w:rPr>
          <w:rFonts w:ascii="Times" w:hAnsi="Times"/>
        </w:rPr>
        <w:t>2</w:t>
      </w:r>
      <w:r>
        <w:rPr>
          <w:rFonts w:ascii="Times" w:hAnsi="Times"/>
        </w:rPr>
        <w:t>)</w:t>
      </w:r>
      <w:r w:rsidR="002929E5">
        <w:rPr>
          <w:rFonts w:ascii="Times" w:hAnsi="Times"/>
        </w:rPr>
        <w:t xml:space="preserve"> </w:t>
      </w:r>
      <w:r w:rsidR="002929E5">
        <w:rPr>
          <w:rFonts w:ascii="Times" w:hAnsi="Times"/>
        </w:rPr>
        <w:fldChar w:fldCharType="begin" w:fldLock="1"/>
      </w:r>
      <w:r w:rsidR="00ED0095">
        <w:rPr>
          <w:rFonts w:ascii="Times" w:hAnsi="Times"/>
        </w:rPr>
        <w:instrText>ADDIN CSL_CITATION {"citationItems":[{"id":"ITEM-1","itemData":{"DOI":"10.1093/nar/gkz369","ISSN":"0305-1048","abstract":"Biological data analysis often deals with lists of genes arising from various studies. The g:Profiler toolset is widely used for finding biological categories enriched in gene lists, conversions between gene identifiers and mappings to their orthologs. The mission of g:Profiler is to provide a reliable service based on up-to-date high quality data in a convenient manner across many evidence types, identifier spaces and organisms. g:Profiler relies on Ensembl as a primary data source and follows their quarterly release cycle while updating the other data sources simultaneously. The current update provides a better user experience due to a modern responsive web interface, standardised API and libraries. The results are delivered through an interactive and configurable web design. Results can be downloaded as publication ready visualisations or delimited text files. In the current update we have extended the support to 467 species and strains, including vertebrates, plants, fungi, insects and parasites. By supporting user uploaded custom GMT files, g:Profiler is now capable of analysing data from any organism. All past releases are maintained for reproducibility and transparency. The 2019 update introduces an extensive technical rewrite making the services faster and more flexible. g:Profiler is freely available at https://biit.cs.ut.ee/gprofiler.","author":[{"dropping-particle":"","family":"Raudvere","given":"Uku","non-dropping-particle":"","parse-names":false,"suffix":""},{"dropping-particle":"","family":"Kolberg","given":"Liis","non-dropping-particle":"","parse-names":false,"suffix":""},{"dropping-particle":"","family":"Kuzmin","given":"Ivan","non-dropping-particle":"","parse-names":false,"suffix":""},{"dropping-particle":"","family":"Arak","given":"Tambet","non-dropping-particle":"","parse-names":false,"suffix":""},{"dropping-particle":"","family":"Adler","given":"Priit","non-dropping-particle":"","parse-names":false,"suffix":""},{"dropping-particle":"","family":"Peterson","given":"Hedi","non-dropping-particle":"","parse-names":false,"suffix":""},{"dropping-particle":"","family":"Vilo","given":"Jaak","non-dropping-particle":"","parse-names":false,"suffix":""}],"container-title":"Nucleic Acids Research","id":"ITEM-1","issue":"W1","issued":{"date-parts":[["2019"]]},"page":"W191-W198","publisher":"Oxford University Press","title":"g:Profiler: a web server for functional enrichment analysis and conversions of gene lists (2019 update)","type":"article-journal","volume":"47"},"uris":["http://www.mendeley.com/documents/?uuid=c51fc3de-bd15-4516-8587-cc98a9c0109e"]}],"mendeley":{"formattedCitation":"(Raudvere et al., 2019)","plainTextFormattedCitation":"(Raudvere et al., 2019)","previouslyFormattedCitation":"(Raudvere et al., 2019)"},"properties":{"noteIndex":0},"schema":"https://github.com/citation-style-language/schema/raw/master/csl-citation.json"}</w:instrText>
      </w:r>
      <w:r w:rsidR="002929E5">
        <w:rPr>
          <w:rFonts w:ascii="Times" w:hAnsi="Times"/>
        </w:rPr>
        <w:fldChar w:fldCharType="separate"/>
      </w:r>
      <w:r w:rsidR="002929E5" w:rsidRPr="002929E5">
        <w:rPr>
          <w:rFonts w:ascii="Times" w:hAnsi="Times"/>
          <w:noProof/>
        </w:rPr>
        <w:t>(Raudvere et al., 2019)</w:t>
      </w:r>
      <w:r w:rsidR="002929E5">
        <w:rPr>
          <w:rFonts w:ascii="Times" w:hAnsi="Times"/>
        </w:rPr>
        <w:fldChar w:fldCharType="end"/>
      </w:r>
    </w:p>
    <w:p w:rsidR="00357D0F" w:rsidRDefault="00357D0F" w:rsidP="00357D0F">
      <w:pPr>
        <w:pStyle w:val="ListParagraph"/>
        <w:numPr>
          <w:ilvl w:val="3"/>
          <w:numId w:val="2"/>
        </w:numPr>
        <w:rPr>
          <w:rFonts w:ascii="Times" w:hAnsi="Times"/>
        </w:rPr>
      </w:pPr>
      <w:r>
        <w:rPr>
          <w:rFonts w:ascii="Times" w:hAnsi="Times"/>
        </w:rPr>
        <w:t>PD GWAS gene list</w:t>
      </w:r>
    </w:p>
    <w:p w:rsidR="00357D0F" w:rsidRPr="00357D0F" w:rsidRDefault="00357D0F" w:rsidP="00357D0F">
      <w:pPr>
        <w:pStyle w:val="ListParagraph"/>
        <w:numPr>
          <w:ilvl w:val="3"/>
          <w:numId w:val="2"/>
        </w:numPr>
        <w:rPr>
          <w:rFonts w:ascii="Times" w:hAnsi="Times"/>
        </w:rPr>
      </w:pPr>
      <w:r>
        <w:rPr>
          <w:rFonts w:ascii="Times" w:hAnsi="Times"/>
        </w:rPr>
        <w:t>AD GWAS gene list</w:t>
      </w:r>
    </w:p>
    <w:p w:rsidR="00996738" w:rsidRDefault="00996738" w:rsidP="001942E2">
      <w:pPr>
        <w:pStyle w:val="ListParagraph"/>
        <w:numPr>
          <w:ilvl w:val="2"/>
          <w:numId w:val="2"/>
        </w:numPr>
        <w:rPr>
          <w:rFonts w:ascii="Times" w:hAnsi="Times"/>
        </w:rPr>
      </w:pPr>
      <w:r>
        <w:rPr>
          <w:rFonts w:ascii="Times" w:hAnsi="Times"/>
        </w:rPr>
        <w:t>Networks</w:t>
      </w:r>
    </w:p>
    <w:p w:rsidR="00475790" w:rsidRDefault="00475790" w:rsidP="00475790">
      <w:pPr>
        <w:pStyle w:val="ListParagraph"/>
        <w:numPr>
          <w:ilvl w:val="3"/>
          <w:numId w:val="2"/>
        </w:numPr>
        <w:rPr>
          <w:rFonts w:ascii="Times" w:hAnsi="Times"/>
        </w:rPr>
      </w:pPr>
      <w:r>
        <w:rPr>
          <w:rFonts w:ascii="Times" w:hAnsi="Times"/>
        </w:rPr>
        <w:t xml:space="preserve">Summary stats: Number of modules, genes/module, </w:t>
      </w:r>
    </w:p>
    <w:p w:rsidR="00996738" w:rsidRDefault="00996738" w:rsidP="00996738">
      <w:pPr>
        <w:pStyle w:val="ListParagraph"/>
        <w:numPr>
          <w:ilvl w:val="1"/>
          <w:numId w:val="2"/>
        </w:numPr>
        <w:rPr>
          <w:rFonts w:ascii="Times" w:hAnsi="Times"/>
        </w:rPr>
      </w:pPr>
      <w:r>
        <w:rPr>
          <w:rFonts w:ascii="Times" w:hAnsi="Times"/>
        </w:rPr>
        <w:t xml:space="preserve">bulk vs. </w:t>
      </w:r>
      <w:proofErr w:type="spellStart"/>
      <w:r>
        <w:rPr>
          <w:rFonts w:ascii="Times" w:hAnsi="Times"/>
        </w:rPr>
        <w:t>sc</w:t>
      </w:r>
      <w:proofErr w:type="spellEnd"/>
      <w:r>
        <w:rPr>
          <w:rFonts w:ascii="Times" w:hAnsi="Times"/>
        </w:rPr>
        <w:t xml:space="preserve"> modules</w:t>
      </w:r>
    </w:p>
    <w:p w:rsidR="004278AB" w:rsidRPr="004278AB" w:rsidRDefault="004278AB" w:rsidP="004278AB">
      <w:pPr>
        <w:pStyle w:val="ListParagraph"/>
        <w:numPr>
          <w:ilvl w:val="2"/>
          <w:numId w:val="2"/>
        </w:numPr>
        <w:rPr>
          <w:rFonts w:ascii="Times" w:hAnsi="Times"/>
        </w:rPr>
      </w:pPr>
      <w:r w:rsidRPr="004278AB">
        <w:rPr>
          <w:rFonts w:ascii="Times" w:hAnsi="Times"/>
        </w:rPr>
        <w:t>Overall:</w:t>
      </w:r>
    </w:p>
    <w:p w:rsidR="004278AB" w:rsidRPr="004278AB" w:rsidRDefault="004278AB" w:rsidP="004278AB">
      <w:pPr>
        <w:pStyle w:val="ListParagraph"/>
        <w:numPr>
          <w:ilvl w:val="3"/>
          <w:numId w:val="2"/>
        </w:numPr>
        <w:rPr>
          <w:rFonts w:ascii="Times" w:hAnsi="Times"/>
        </w:rPr>
      </w:pPr>
      <w:r w:rsidRPr="004278AB">
        <w:rPr>
          <w:rFonts w:ascii="Times" w:hAnsi="Times"/>
        </w:rPr>
        <w:t>25 / 1122 module-module comparisons show significant overlap (FDR ≤ 0.05)</w:t>
      </w:r>
      <w:r w:rsidR="004E150C">
        <w:rPr>
          <w:rFonts w:ascii="Times" w:hAnsi="Times"/>
        </w:rPr>
        <w:t xml:space="preserve"> (Table X).</w:t>
      </w:r>
    </w:p>
    <w:p w:rsidR="004278AB" w:rsidRPr="004278AB" w:rsidRDefault="004278AB" w:rsidP="004278AB">
      <w:pPr>
        <w:pStyle w:val="ListParagraph"/>
        <w:numPr>
          <w:ilvl w:val="3"/>
          <w:numId w:val="2"/>
        </w:numPr>
        <w:rPr>
          <w:rFonts w:ascii="Times" w:hAnsi="Times"/>
        </w:rPr>
      </w:pPr>
      <w:r w:rsidRPr="004278AB">
        <w:rPr>
          <w:rFonts w:ascii="Times" w:hAnsi="Times"/>
        </w:rPr>
        <w:t xml:space="preserve">~23% </w:t>
      </w:r>
      <w:proofErr w:type="spellStart"/>
      <w:r w:rsidRPr="004278AB">
        <w:rPr>
          <w:rFonts w:ascii="Times" w:hAnsi="Times"/>
        </w:rPr>
        <w:t>bulk.modules</w:t>
      </w:r>
      <w:proofErr w:type="spellEnd"/>
      <w:r w:rsidRPr="004278AB">
        <w:rPr>
          <w:rFonts w:ascii="Times" w:hAnsi="Times"/>
        </w:rPr>
        <w:t xml:space="preserve">  showed enrichment for some </w:t>
      </w:r>
      <w:proofErr w:type="spellStart"/>
      <w:r w:rsidRPr="004278AB">
        <w:rPr>
          <w:rFonts w:ascii="Times" w:hAnsi="Times"/>
        </w:rPr>
        <w:t>sc.module</w:t>
      </w:r>
      <w:proofErr w:type="spellEnd"/>
      <w:r w:rsidRPr="004278AB">
        <w:rPr>
          <w:rFonts w:ascii="Times" w:hAnsi="Times"/>
        </w:rPr>
        <w:t>.</w:t>
      </w:r>
    </w:p>
    <w:p w:rsidR="004278AB" w:rsidRPr="004278AB" w:rsidRDefault="004278AB" w:rsidP="004278AB">
      <w:pPr>
        <w:pStyle w:val="ListParagraph"/>
        <w:numPr>
          <w:ilvl w:val="3"/>
          <w:numId w:val="2"/>
        </w:numPr>
        <w:rPr>
          <w:rFonts w:ascii="Times" w:hAnsi="Times"/>
        </w:rPr>
      </w:pPr>
      <w:r w:rsidRPr="004278AB">
        <w:rPr>
          <w:rFonts w:ascii="Times" w:hAnsi="Times"/>
        </w:rPr>
        <w:lastRenderedPageBreak/>
        <w:t xml:space="preserve">~82% of </w:t>
      </w:r>
      <w:proofErr w:type="spellStart"/>
      <w:r w:rsidRPr="004278AB">
        <w:rPr>
          <w:rFonts w:ascii="Times" w:hAnsi="Times"/>
        </w:rPr>
        <w:t>sc.modules</w:t>
      </w:r>
      <w:proofErr w:type="spellEnd"/>
      <w:r w:rsidRPr="004278AB">
        <w:rPr>
          <w:rFonts w:ascii="Times" w:hAnsi="Times"/>
        </w:rPr>
        <w:t xml:space="preserve"> showed enrichment for some </w:t>
      </w:r>
      <w:proofErr w:type="spellStart"/>
      <w:r w:rsidRPr="004278AB">
        <w:rPr>
          <w:rFonts w:ascii="Times" w:hAnsi="Times"/>
        </w:rPr>
        <w:t>bulk.module</w:t>
      </w:r>
      <w:proofErr w:type="spellEnd"/>
      <w:r w:rsidRPr="004278AB">
        <w:rPr>
          <w:rFonts w:ascii="Times" w:hAnsi="Times"/>
        </w:rPr>
        <w:t>.</w:t>
      </w:r>
    </w:p>
    <w:p w:rsidR="004278AB" w:rsidRPr="004278AB" w:rsidRDefault="004278AB" w:rsidP="004278AB">
      <w:pPr>
        <w:pStyle w:val="ListParagraph"/>
        <w:numPr>
          <w:ilvl w:val="2"/>
          <w:numId w:val="2"/>
        </w:numPr>
        <w:rPr>
          <w:rFonts w:ascii="Times" w:hAnsi="Times"/>
        </w:rPr>
      </w:pPr>
      <w:r w:rsidRPr="004278AB">
        <w:rPr>
          <w:rFonts w:ascii="Times" w:hAnsi="Times"/>
        </w:rPr>
        <w:t>Top 2 most-similar module-module pairs:</w:t>
      </w:r>
    </w:p>
    <w:p w:rsidR="004278AB" w:rsidRPr="004278AB" w:rsidRDefault="004278AB" w:rsidP="004278AB">
      <w:pPr>
        <w:pStyle w:val="ListParagraph"/>
        <w:numPr>
          <w:ilvl w:val="3"/>
          <w:numId w:val="2"/>
        </w:numPr>
        <w:rPr>
          <w:rFonts w:ascii="Times" w:hAnsi="Times"/>
        </w:rPr>
      </w:pPr>
      <w:r w:rsidRPr="004278AB">
        <w:rPr>
          <w:rFonts w:ascii="Times" w:hAnsi="Times"/>
        </w:rPr>
        <w:t xml:space="preserve">~53% of the sc.module2 genes were contained in the green </w:t>
      </w:r>
      <w:proofErr w:type="spellStart"/>
      <w:r w:rsidRPr="004278AB">
        <w:rPr>
          <w:rFonts w:ascii="Times" w:hAnsi="Times"/>
        </w:rPr>
        <w:t>bulk.module</w:t>
      </w:r>
      <w:proofErr w:type="spellEnd"/>
      <w:r>
        <w:rPr>
          <w:rFonts w:ascii="Times" w:hAnsi="Times"/>
        </w:rPr>
        <w:t xml:space="preserve"> (</w:t>
      </w:r>
      <w:r w:rsidRPr="004278AB">
        <w:rPr>
          <w:rFonts w:ascii="Times" w:hAnsi="Times"/>
        </w:rPr>
        <w:t>Mitochondria</w:t>
      </w:r>
      <w:r>
        <w:rPr>
          <w:rFonts w:ascii="Times" w:hAnsi="Times"/>
        </w:rPr>
        <w:t xml:space="preserve">, </w:t>
      </w:r>
      <w:r w:rsidRPr="004278AB">
        <w:rPr>
          <w:rFonts w:ascii="Times" w:hAnsi="Times"/>
        </w:rPr>
        <w:t>Translation</w:t>
      </w:r>
      <w:r>
        <w:rPr>
          <w:rFonts w:ascii="Times" w:hAnsi="Times"/>
        </w:rPr>
        <w:t xml:space="preserve">, </w:t>
      </w:r>
      <w:r w:rsidRPr="004278AB">
        <w:rPr>
          <w:rFonts w:ascii="Times" w:hAnsi="Times"/>
        </w:rPr>
        <w:t>Ribosome</w:t>
      </w:r>
      <w:r>
        <w:rPr>
          <w:rFonts w:ascii="Times" w:hAnsi="Times"/>
        </w:rPr>
        <w:t>)</w:t>
      </w:r>
    </w:p>
    <w:p w:rsidR="004278AB" w:rsidRPr="00B51FAE" w:rsidRDefault="004278AB" w:rsidP="004278AB">
      <w:pPr>
        <w:pStyle w:val="ListParagraph"/>
        <w:numPr>
          <w:ilvl w:val="3"/>
          <w:numId w:val="2"/>
        </w:numPr>
        <w:rPr>
          <w:rFonts w:ascii="Times" w:hAnsi="Times"/>
        </w:rPr>
      </w:pPr>
      <w:r w:rsidRPr="004278AB">
        <w:rPr>
          <w:rFonts w:ascii="Times" w:hAnsi="Times"/>
        </w:rPr>
        <w:t xml:space="preserve">~31% of the sc.module8 genes were contained in the pink </w:t>
      </w:r>
      <w:proofErr w:type="spellStart"/>
      <w:r w:rsidRPr="004278AB">
        <w:rPr>
          <w:rFonts w:ascii="Times" w:hAnsi="Times"/>
        </w:rPr>
        <w:t>bulk.module</w:t>
      </w:r>
      <w:proofErr w:type="spellEnd"/>
      <w:r w:rsidRPr="00B51FAE">
        <w:rPr>
          <w:rFonts w:ascii="Times" w:hAnsi="Times"/>
        </w:rPr>
        <w:t xml:space="preserve"> (</w:t>
      </w:r>
      <w:r w:rsidRPr="004278AB">
        <w:rPr>
          <w:rFonts w:ascii="Times" w:hAnsi="Times"/>
        </w:rPr>
        <w:t>Cell proliferation</w:t>
      </w:r>
      <w:r w:rsidRPr="00B51FAE">
        <w:rPr>
          <w:rFonts w:ascii="Times" w:hAnsi="Times"/>
        </w:rPr>
        <w:t>, Apoptosis, Cytokine response)</w:t>
      </w:r>
    </w:p>
    <w:p w:rsidR="004278AB" w:rsidRPr="004278AB" w:rsidRDefault="004278AB" w:rsidP="004278AB">
      <w:pPr>
        <w:pStyle w:val="ListParagraph"/>
        <w:numPr>
          <w:ilvl w:val="2"/>
          <w:numId w:val="2"/>
        </w:numPr>
        <w:rPr>
          <w:rFonts w:ascii="Times" w:hAnsi="Times"/>
        </w:rPr>
      </w:pPr>
      <w:proofErr w:type="spellStart"/>
      <w:r w:rsidRPr="004278AB">
        <w:rPr>
          <w:rFonts w:ascii="Times" w:hAnsi="Times"/>
        </w:rPr>
        <w:t>sc.modules</w:t>
      </w:r>
      <w:proofErr w:type="spellEnd"/>
      <w:r w:rsidRPr="004278AB">
        <w:rPr>
          <w:rFonts w:ascii="Times" w:hAnsi="Times"/>
        </w:rPr>
        <w:t xml:space="preserve"> 4,5 &amp; 10 are over-expressed in intermediate monocytes.</w:t>
      </w:r>
      <w:r w:rsidR="00BC26CF">
        <w:rPr>
          <w:rFonts w:ascii="Times" w:hAnsi="Times"/>
        </w:rPr>
        <w:t xml:space="preserve"> (Fig. X)</w:t>
      </w:r>
    </w:p>
    <w:p w:rsidR="004278AB" w:rsidRPr="00BC26CF" w:rsidRDefault="004278AB" w:rsidP="00BC26CF">
      <w:pPr>
        <w:pStyle w:val="ListParagraph"/>
        <w:numPr>
          <w:ilvl w:val="2"/>
          <w:numId w:val="2"/>
        </w:numPr>
        <w:rPr>
          <w:rFonts w:ascii="Times" w:hAnsi="Times"/>
        </w:rPr>
      </w:pPr>
      <w:proofErr w:type="spellStart"/>
      <w:r w:rsidRPr="004278AB">
        <w:rPr>
          <w:rFonts w:ascii="Times" w:hAnsi="Times"/>
        </w:rPr>
        <w:t>sc.modules</w:t>
      </w:r>
      <w:proofErr w:type="spellEnd"/>
      <w:r w:rsidRPr="004278AB">
        <w:rPr>
          <w:rFonts w:ascii="Times" w:hAnsi="Times"/>
        </w:rPr>
        <w:t xml:space="preserve"> 8, 13 &amp; 17 are over-expressed in canonical monocytes.</w:t>
      </w:r>
      <w:r w:rsidR="00BC26CF">
        <w:rPr>
          <w:rFonts w:ascii="Times" w:hAnsi="Times"/>
        </w:rPr>
        <w:t xml:space="preserve"> (Fig. X)</w:t>
      </w:r>
    </w:p>
    <w:p w:rsidR="00B51FAE" w:rsidRPr="00B51FAE" w:rsidRDefault="00B51FAE" w:rsidP="00B51FAE">
      <w:pPr>
        <w:pStyle w:val="ListParagraph"/>
        <w:numPr>
          <w:ilvl w:val="2"/>
          <w:numId w:val="2"/>
        </w:numPr>
        <w:rPr>
          <w:rFonts w:ascii="Times" w:hAnsi="Times"/>
        </w:rPr>
      </w:pPr>
      <w:r w:rsidRPr="00B51FAE">
        <w:rPr>
          <w:rFonts w:ascii="Times" w:hAnsi="Times"/>
        </w:rPr>
        <w:t>Conclusions:</w:t>
      </w:r>
    </w:p>
    <w:p w:rsidR="00B51FAE" w:rsidRPr="00B51FAE" w:rsidRDefault="00B51FAE" w:rsidP="00B51FAE">
      <w:pPr>
        <w:pStyle w:val="ListParagraph"/>
        <w:numPr>
          <w:ilvl w:val="3"/>
          <w:numId w:val="2"/>
        </w:numPr>
        <w:rPr>
          <w:rFonts w:ascii="Times" w:hAnsi="Times"/>
        </w:rPr>
      </w:pPr>
      <w:r w:rsidRPr="00B51FAE">
        <w:rPr>
          <w:rFonts w:ascii="Times" w:hAnsi="Times"/>
        </w:rPr>
        <w:t xml:space="preserve">The bulk monocyte modules contain signatures that can be found in 82% of the </w:t>
      </w:r>
      <w:proofErr w:type="spellStart"/>
      <w:r w:rsidRPr="00B51FAE">
        <w:rPr>
          <w:rFonts w:ascii="Times" w:hAnsi="Times"/>
        </w:rPr>
        <w:t>sc.modules</w:t>
      </w:r>
      <w:proofErr w:type="spellEnd"/>
      <w:r w:rsidRPr="00B51FAE">
        <w:rPr>
          <w:rFonts w:ascii="Times" w:hAnsi="Times"/>
        </w:rPr>
        <w:t>.</w:t>
      </w:r>
    </w:p>
    <w:p w:rsidR="00B51FAE" w:rsidRPr="00B51FAE" w:rsidRDefault="00B51FAE" w:rsidP="00B51FAE">
      <w:pPr>
        <w:pStyle w:val="ListParagraph"/>
        <w:numPr>
          <w:ilvl w:val="3"/>
          <w:numId w:val="2"/>
        </w:numPr>
        <w:rPr>
          <w:rFonts w:ascii="Times" w:hAnsi="Times"/>
        </w:rPr>
      </w:pPr>
      <w:r w:rsidRPr="00B51FAE">
        <w:rPr>
          <w:rFonts w:ascii="Times" w:hAnsi="Times"/>
        </w:rPr>
        <w:t xml:space="preserve">The green </w:t>
      </w:r>
      <w:proofErr w:type="spellStart"/>
      <w:r w:rsidRPr="00B51FAE">
        <w:rPr>
          <w:rFonts w:ascii="Times" w:hAnsi="Times"/>
        </w:rPr>
        <w:t>bulk.module</w:t>
      </w:r>
      <w:proofErr w:type="spellEnd"/>
      <w:r w:rsidRPr="00B51FAE">
        <w:rPr>
          <w:rFonts w:ascii="Times" w:hAnsi="Times"/>
        </w:rPr>
        <w:t xml:space="preserve"> corresponds to mitochondrial function and is upregulated in both canonical and intermediate monocytes (and possibly CD14+ neutrophils).</w:t>
      </w:r>
    </w:p>
    <w:p w:rsidR="00B51FAE" w:rsidRPr="00B51FAE" w:rsidRDefault="00B51FAE" w:rsidP="00B51FAE">
      <w:pPr>
        <w:pStyle w:val="ListParagraph"/>
        <w:numPr>
          <w:ilvl w:val="3"/>
          <w:numId w:val="2"/>
        </w:numPr>
        <w:rPr>
          <w:rFonts w:ascii="Times" w:hAnsi="Times"/>
        </w:rPr>
      </w:pPr>
      <w:r w:rsidRPr="00B51FAE">
        <w:rPr>
          <w:rFonts w:ascii="Times" w:hAnsi="Times"/>
        </w:rPr>
        <w:t xml:space="preserve"> The pink </w:t>
      </w:r>
      <w:proofErr w:type="spellStart"/>
      <w:r w:rsidRPr="00B51FAE">
        <w:rPr>
          <w:rFonts w:ascii="Times" w:hAnsi="Times"/>
        </w:rPr>
        <w:t>bulk.module</w:t>
      </w:r>
      <w:proofErr w:type="spellEnd"/>
      <w:r w:rsidRPr="00B51FAE">
        <w:rPr>
          <w:rFonts w:ascii="Times" w:hAnsi="Times"/>
        </w:rPr>
        <w:t xml:space="preserve"> corresponds to a proliferative cytokine response that is upregulated in canonical monocytes (but not intermediate monocytes). This module is also significantly </w:t>
      </w:r>
      <w:proofErr w:type="spellStart"/>
      <w:r w:rsidRPr="00B51FAE">
        <w:rPr>
          <w:rFonts w:ascii="Times" w:hAnsi="Times"/>
        </w:rPr>
        <w:t>underexpressed</w:t>
      </w:r>
      <w:proofErr w:type="spellEnd"/>
      <w:r w:rsidRPr="00B51FAE">
        <w:rPr>
          <w:rFonts w:ascii="Times" w:hAnsi="Times"/>
        </w:rPr>
        <w:t xml:space="preserve"> in PD monocytes, possibly suggesting an impaired ability to mount a defensive immune response in the disease. </w:t>
      </w:r>
    </w:p>
    <w:p w:rsidR="004278AB" w:rsidRPr="004278AB" w:rsidRDefault="004278AB" w:rsidP="004278AB">
      <w:pPr>
        <w:pStyle w:val="ListParagraph"/>
        <w:numPr>
          <w:ilvl w:val="2"/>
          <w:numId w:val="2"/>
        </w:numPr>
        <w:rPr>
          <w:rFonts w:ascii="Times" w:hAnsi="Times"/>
        </w:rPr>
      </w:pPr>
    </w:p>
    <w:p w:rsidR="00076054" w:rsidRDefault="00076054" w:rsidP="005054EF">
      <w:pPr>
        <w:pStyle w:val="ListParagraph"/>
        <w:numPr>
          <w:ilvl w:val="0"/>
          <w:numId w:val="2"/>
        </w:numPr>
        <w:rPr>
          <w:rFonts w:ascii="Times" w:hAnsi="Times"/>
          <w:b/>
          <w:bCs/>
        </w:rPr>
      </w:pPr>
      <w:r>
        <w:rPr>
          <w:rFonts w:ascii="Times" w:hAnsi="Times"/>
          <w:b/>
          <w:bCs/>
        </w:rPr>
        <w:t>Discussion</w:t>
      </w:r>
    </w:p>
    <w:p w:rsidR="005F608D" w:rsidRDefault="005F608D" w:rsidP="005F608D">
      <w:pPr>
        <w:pStyle w:val="ListParagraph"/>
        <w:numPr>
          <w:ilvl w:val="1"/>
          <w:numId w:val="2"/>
        </w:numPr>
        <w:rPr>
          <w:rFonts w:ascii="Times" w:hAnsi="Times"/>
          <w:b/>
          <w:bCs/>
        </w:rPr>
      </w:pPr>
    </w:p>
    <w:p w:rsidR="00076054" w:rsidRDefault="00076054" w:rsidP="00076054">
      <w:pPr>
        <w:pStyle w:val="ListParagraph"/>
        <w:numPr>
          <w:ilvl w:val="0"/>
          <w:numId w:val="2"/>
        </w:numPr>
        <w:rPr>
          <w:rFonts w:ascii="Times" w:hAnsi="Times"/>
          <w:b/>
          <w:bCs/>
        </w:rPr>
      </w:pPr>
      <w:r>
        <w:rPr>
          <w:rFonts w:ascii="Times" w:hAnsi="Times"/>
          <w:b/>
          <w:bCs/>
        </w:rPr>
        <w:t>Conclusion</w:t>
      </w:r>
      <w:r w:rsidR="002C4CE8">
        <w:rPr>
          <w:rFonts w:ascii="Times" w:hAnsi="Times"/>
          <w:b/>
          <w:bCs/>
        </w:rPr>
        <w:t>s</w:t>
      </w:r>
    </w:p>
    <w:p w:rsidR="005F608D" w:rsidRDefault="005F608D" w:rsidP="005F608D">
      <w:pPr>
        <w:pStyle w:val="ListParagraph"/>
        <w:numPr>
          <w:ilvl w:val="1"/>
          <w:numId w:val="2"/>
        </w:numPr>
        <w:rPr>
          <w:rFonts w:ascii="Times" w:hAnsi="Times"/>
          <w:b/>
          <w:bCs/>
        </w:rPr>
      </w:pPr>
    </w:p>
    <w:p w:rsidR="00076054" w:rsidRDefault="00076054" w:rsidP="00076054">
      <w:pPr>
        <w:pStyle w:val="ListParagraph"/>
        <w:numPr>
          <w:ilvl w:val="0"/>
          <w:numId w:val="2"/>
        </w:numPr>
        <w:rPr>
          <w:rFonts w:ascii="Times" w:hAnsi="Times"/>
          <w:b/>
          <w:bCs/>
        </w:rPr>
      </w:pPr>
      <w:r>
        <w:rPr>
          <w:rFonts w:ascii="Times" w:hAnsi="Times"/>
          <w:b/>
          <w:bCs/>
        </w:rPr>
        <w:t>Supplementary Material</w:t>
      </w:r>
      <w:r w:rsidR="00357D0F">
        <w:rPr>
          <w:rFonts w:ascii="Times" w:hAnsi="Times"/>
          <w:b/>
          <w:bCs/>
        </w:rPr>
        <w:t>s</w:t>
      </w:r>
    </w:p>
    <w:p w:rsidR="00F564E0" w:rsidRDefault="00F564E0" w:rsidP="00F564E0">
      <w:pPr>
        <w:pStyle w:val="ListParagraph"/>
        <w:numPr>
          <w:ilvl w:val="1"/>
          <w:numId w:val="2"/>
        </w:numPr>
        <w:rPr>
          <w:rFonts w:ascii="Times" w:hAnsi="Times"/>
          <w:b/>
          <w:bCs/>
        </w:rPr>
      </w:pPr>
    </w:p>
    <w:p w:rsidR="005F608D" w:rsidRDefault="005F608D" w:rsidP="00231E54">
      <w:pPr>
        <w:rPr>
          <w:rFonts w:ascii="Times" w:hAnsi="Times"/>
          <w:b/>
          <w:bCs/>
        </w:rPr>
      </w:pPr>
    </w:p>
    <w:p w:rsidR="00231E54" w:rsidRDefault="00231E54">
      <w:pPr>
        <w:rPr>
          <w:rFonts w:ascii="Times" w:hAnsi="Times"/>
          <w:b/>
          <w:bCs/>
        </w:rPr>
      </w:pPr>
      <w:r>
        <w:rPr>
          <w:rFonts w:ascii="Times" w:hAnsi="Times"/>
          <w:b/>
          <w:bCs/>
        </w:rPr>
        <w:br w:type="page"/>
      </w:r>
    </w:p>
    <w:p w:rsidR="00231E54" w:rsidRDefault="00231E54" w:rsidP="00231E54">
      <w:pPr>
        <w:rPr>
          <w:rFonts w:ascii="Times" w:hAnsi="Times"/>
          <w:b/>
          <w:bCs/>
        </w:rPr>
      </w:pPr>
      <w:r>
        <w:rPr>
          <w:rFonts w:ascii="Times" w:hAnsi="Times"/>
          <w:b/>
          <w:bCs/>
        </w:rPr>
        <w:lastRenderedPageBreak/>
        <w:t>Abstract</w:t>
      </w:r>
    </w:p>
    <w:p w:rsidR="00436E28" w:rsidRDefault="00436E28" w:rsidP="00231E54">
      <w:pPr>
        <w:rPr>
          <w:rFonts w:ascii="Times" w:hAnsi="Times"/>
          <w:b/>
          <w:bCs/>
        </w:rPr>
      </w:pPr>
    </w:p>
    <w:p w:rsidR="00231E54" w:rsidRDefault="00231E54" w:rsidP="00231E54">
      <w:pPr>
        <w:rPr>
          <w:rFonts w:ascii="Times" w:hAnsi="Times"/>
          <w:b/>
          <w:bCs/>
        </w:rPr>
      </w:pPr>
      <w:r>
        <w:rPr>
          <w:rFonts w:ascii="Times" w:hAnsi="Times"/>
          <w:b/>
          <w:bCs/>
        </w:rPr>
        <w:t>Introduction</w:t>
      </w:r>
    </w:p>
    <w:p w:rsidR="00231E54" w:rsidRDefault="00231E54" w:rsidP="00231E54">
      <w:pPr>
        <w:rPr>
          <w:rFonts w:ascii="Times" w:hAnsi="Times"/>
          <w:b/>
          <w:bCs/>
        </w:rPr>
      </w:pPr>
    </w:p>
    <w:p w:rsidR="001F1BD2" w:rsidRPr="001F1BD2" w:rsidRDefault="001F1BD2" w:rsidP="001F1BD2">
      <w:pPr>
        <w:rPr>
          <w:rFonts w:ascii="Times" w:hAnsi="Times"/>
          <w:b/>
          <w:bCs/>
        </w:rPr>
      </w:pPr>
      <w:r w:rsidRPr="001F1BD2">
        <w:rPr>
          <w:rFonts w:ascii="Times" w:hAnsi="Times"/>
          <w:b/>
          <w:bCs/>
        </w:rPr>
        <w:t>Methods &amp; Materials</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Results</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Discussion</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Conclusions</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Funding</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Acknowledgements</w:t>
      </w:r>
    </w:p>
    <w:p w:rsidR="00231E54" w:rsidRDefault="00231E54" w:rsidP="00231E54">
      <w:pPr>
        <w:rPr>
          <w:rFonts w:ascii="Times" w:hAnsi="Times"/>
          <w:b/>
          <w:bCs/>
        </w:rPr>
      </w:pPr>
    </w:p>
    <w:p w:rsidR="00231E54" w:rsidRDefault="00231E54" w:rsidP="00231E54">
      <w:pPr>
        <w:rPr>
          <w:rFonts w:ascii="Times" w:hAnsi="Times"/>
          <w:b/>
          <w:bCs/>
        </w:rPr>
      </w:pPr>
      <w:r>
        <w:rPr>
          <w:rFonts w:ascii="Times" w:hAnsi="Times"/>
          <w:b/>
          <w:bCs/>
        </w:rPr>
        <w:t>Figures</w:t>
      </w:r>
    </w:p>
    <w:p w:rsidR="00231E54" w:rsidRDefault="00231E54" w:rsidP="00231E54">
      <w:pPr>
        <w:rPr>
          <w:rFonts w:ascii="Times" w:hAnsi="Times"/>
          <w:b/>
          <w:bCs/>
        </w:rPr>
      </w:pPr>
    </w:p>
    <w:p w:rsidR="00231E54" w:rsidRDefault="00231E54" w:rsidP="00231E54">
      <w:pPr>
        <w:rPr>
          <w:rFonts w:ascii="Times" w:hAnsi="Times"/>
          <w:b/>
          <w:bCs/>
        </w:rPr>
      </w:pPr>
    </w:p>
    <w:p w:rsidR="00231E54" w:rsidRPr="00231E54" w:rsidRDefault="00231E54" w:rsidP="00231E54">
      <w:pPr>
        <w:rPr>
          <w:rFonts w:ascii="Times" w:hAnsi="Times"/>
          <w:b/>
          <w:bCs/>
        </w:rPr>
      </w:pPr>
    </w:p>
    <w:p w:rsidR="00AB37E3" w:rsidRDefault="00AB37E3" w:rsidP="00231E54">
      <w:pPr>
        <w:rPr>
          <w:rFonts w:ascii="Times" w:hAnsi="Times"/>
        </w:rPr>
      </w:pPr>
      <w:r>
        <w:rPr>
          <w:rFonts w:ascii="Times" w:hAnsi="Times"/>
        </w:rPr>
        <w:br w:type="page"/>
      </w:r>
    </w:p>
    <w:p w:rsidR="005054EF" w:rsidRDefault="00AB37E3" w:rsidP="006C469B">
      <w:pPr>
        <w:rPr>
          <w:rFonts w:ascii="Times" w:hAnsi="Times"/>
        </w:rPr>
      </w:pPr>
      <w:r w:rsidRPr="00AB37E3">
        <w:rPr>
          <w:rFonts w:ascii="Times" w:hAnsi="Times"/>
          <w:b/>
          <w:bCs/>
        </w:rPr>
        <w:lastRenderedPageBreak/>
        <w:t>References</w:t>
      </w:r>
    </w:p>
    <w:p w:rsidR="00AB37E3" w:rsidRDefault="00AB37E3" w:rsidP="006C469B">
      <w:pPr>
        <w:rPr>
          <w:rFonts w:ascii="Times" w:hAnsi="Times"/>
        </w:rPr>
      </w:pPr>
    </w:p>
    <w:p w:rsidR="002B7DD2" w:rsidRPr="002B7DD2" w:rsidRDefault="00AB37E3" w:rsidP="002B7DD2">
      <w:pPr>
        <w:widowControl w:val="0"/>
        <w:autoSpaceDE w:val="0"/>
        <w:autoSpaceDN w:val="0"/>
        <w:adjustRightInd w:val="0"/>
        <w:ind w:left="480" w:hanging="480"/>
        <w:rPr>
          <w:rFonts w:ascii="Times" w:hAnsi="Times" w:cs="Times New Roman"/>
          <w:noProof/>
        </w:rPr>
      </w:pPr>
      <w:r>
        <w:rPr>
          <w:rFonts w:ascii="Times" w:hAnsi="Times"/>
        </w:rPr>
        <w:fldChar w:fldCharType="begin" w:fldLock="1"/>
      </w:r>
      <w:r>
        <w:rPr>
          <w:rFonts w:ascii="Times" w:hAnsi="Times"/>
        </w:rPr>
        <w:instrText xml:space="preserve">ADDIN Mendeley Bibliography CSL_BIBLIOGRAPHY </w:instrText>
      </w:r>
      <w:r>
        <w:rPr>
          <w:rFonts w:ascii="Times" w:hAnsi="Times"/>
        </w:rPr>
        <w:fldChar w:fldCharType="separate"/>
      </w:r>
      <w:r w:rsidR="002B7DD2" w:rsidRPr="002B7DD2">
        <w:rPr>
          <w:rFonts w:ascii="Times" w:hAnsi="Times" w:cs="Times New Roman"/>
          <w:noProof/>
        </w:rPr>
        <w:t xml:space="preserve">Chang, D., Nalls, M. A., Hallgrímsdottir, I. B., Hunkapiller, J., Van Der Brug, M., Cai, F., … Graham, R. R. (2017). A meta-analysis of genome-wide association studies identifies 17 new Parkinson’s disease risk loci. </w:t>
      </w:r>
      <w:r w:rsidR="002B7DD2" w:rsidRPr="002B7DD2">
        <w:rPr>
          <w:rFonts w:ascii="Times" w:hAnsi="Times" w:cs="Times New Roman"/>
          <w:i/>
          <w:iCs/>
          <w:noProof/>
        </w:rPr>
        <w:t>Nature Genetics</w:t>
      </w:r>
      <w:r w:rsidR="002B7DD2" w:rsidRPr="002B7DD2">
        <w:rPr>
          <w:rFonts w:ascii="Times" w:hAnsi="Times" w:cs="Times New Roman"/>
          <w:noProof/>
        </w:rPr>
        <w:t xml:space="preserve">, </w:t>
      </w:r>
      <w:r w:rsidR="002B7DD2" w:rsidRPr="002B7DD2">
        <w:rPr>
          <w:rFonts w:ascii="Times" w:hAnsi="Times" w:cs="Times New Roman"/>
          <w:i/>
          <w:iCs/>
          <w:noProof/>
        </w:rPr>
        <w:t>49</w:t>
      </w:r>
      <w:r w:rsidR="002B7DD2" w:rsidRPr="002B7DD2">
        <w:rPr>
          <w:rFonts w:ascii="Times" w:hAnsi="Times" w:cs="Times New Roman"/>
          <w:noProof/>
        </w:rPr>
        <w:t>(10), 1511–1516. https://doi.org/10.1038/ng.3955</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Grozdanov, V., Bliederhaeuser, C., Ruf, W. P., Roth, V., Fundel-Clemens, K., Zondler, L., … Danzer, K. M. (2014). Inflammatory dysregulation of blood monocytes in Parkinson’s disease patients. </w:t>
      </w:r>
      <w:r w:rsidRPr="002B7DD2">
        <w:rPr>
          <w:rFonts w:ascii="Times" w:hAnsi="Times" w:cs="Times New Roman"/>
          <w:i/>
          <w:iCs/>
          <w:noProof/>
        </w:rPr>
        <w:t>Acta Neuropathologica</w:t>
      </w:r>
      <w:r w:rsidRPr="002B7DD2">
        <w:rPr>
          <w:rFonts w:ascii="Times" w:hAnsi="Times" w:cs="Times New Roman"/>
          <w:noProof/>
        </w:rPr>
        <w:t xml:space="preserve">, </w:t>
      </w:r>
      <w:r w:rsidRPr="002B7DD2">
        <w:rPr>
          <w:rFonts w:ascii="Times" w:hAnsi="Times" w:cs="Times New Roman"/>
          <w:i/>
          <w:iCs/>
          <w:noProof/>
        </w:rPr>
        <w:t>128</w:t>
      </w:r>
      <w:r w:rsidRPr="002B7DD2">
        <w:rPr>
          <w:rFonts w:ascii="Times" w:hAnsi="Times" w:cs="Times New Roman"/>
          <w:noProof/>
        </w:rPr>
        <w:t>(5), 651–663. https://doi.org/10.1007/s00401-014-1345-4</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Hirsch, E. C., &amp; Hunot, S. (2009). Neuroinflammation in Parkinson’s disease: a target for neuroprotection? </w:t>
      </w:r>
      <w:r w:rsidRPr="002B7DD2">
        <w:rPr>
          <w:rFonts w:ascii="Times" w:hAnsi="Times" w:cs="Times New Roman"/>
          <w:i/>
          <w:iCs/>
          <w:noProof/>
        </w:rPr>
        <w:t>The Lancet Neurology</w:t>
      </w:r>
      <w:r w:rsidRPr="002B7DD2">
        <w:rPr>
          <w:rFonts w:ascii="Times" w:hAnsi="Times" w:cs="Times New Roman"/>
          <w:noProof/>
        </w:rPr>
        <w:t xml:space="preserve">, </w:t>
      </w:r>
      <w:r w:rsidRPr="002B7DD2">
        <w:rPr>
          <w:rFonts w:ascii="Times" w:hAnsi="Times" w:cs="Times New Roman"/>
          <w:i/>
          <w:iCs/>
          <w:noProof/>
        </w:rPr>
        <w:t>8</w:t>
      </w:r>
      <w:r w:rsidRPr="002B7DD2">
        <w:rPr>
          <w:rFonts w:ascii="Times" w:hAnsi="Times" w:cs="Times New Roman"/>
          <w:noProof/>
        </w:rPr>
        <w:t>(4), 382–397. https://doi.org/10.1016/S1474-4422(09)70062-6</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Hofmann, M. A., Drury, S., Fu, C., Qu, W., Taguchi, A., Lu, Y., … Schmidt, A. M. (1999). RAGE Mediates a Novel Proinflammatory Axis: A Central Cell Surface Receptor for S100/Calgranulin Polypeptides. </w:t>
      </w:r>
      <w:r w:rsidRPr="002B7DD2">
        <w:rPr>
          <w:rFonts w:ascii="Times" w:hAnsi="Times" w:cs="Times New Roman"/>
          <w:i/>
          <w:iCs/>
          <w:noProof/>
        </w:rPr>
        <w:t>Cell</w:t>
      </w:r>
      <w:r w:rsidRPr="002B7DD2">
        <w:rPr>
          <w:rFonts w:ascii="Times" w:hAnsi="Times" w:cs="Times New Roman"/>
          <w:noProof/>
        </w:rPr>
        <w:t xml:space="preserve">, </w:t>
      </w:r>
      <w:r w:rsidRPr="002B7DD2">
        <w:rPr>
          <w:rFonts w:ascii="Times" w:hAnsi="Times" w:cs="Times New Roman"/>
          <w:i/>
          <w:iCs/>
          <w:noProof/>
        </w:rPr>
        <w:t>97</w:t>
      </w:r>
      <w:r w:rsidRPr="002B7DD2">
        <w:rPr>
          <w:rFonts w:ascii="Times" w:hAnsi="Times" w:cs="Times New Roman"/>
          <w:noProof/>
        </w:rPr>
        <w:t>(7), 889–901. https://doi.org/10.1016/s0092-8674(00)80801-6</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Hujoel, M. L. A., Gazal, S., Loh, P., Patterson, N., &amp; Alkes, L. (2019). Combining case-control status and family history of disease increases association power, 1–20.</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Kang, H. M., Subramaniam, M., Targ, S., Nguyen, M., Maliskova, L., McCarthy, E., … Ye, C. J. (2018). Multiplexed droplet single-cell RNA-sequencing using natural genetic variation. </w:t>
      </w:r>
      <w:r w:rsidRPr="002B7DD2">
        <w:rPr>
          <w:rFonts w:ascii="Times" w:hAnsi="Times" w:cs="Times New Roman"/>
          <w:i/>
          <w:iCs/>
          <w:noProof/>
        </w:rPr>
        <w:t>Nature Biotechnology</w:t>
      </w:r>
      <w:r w:rsidRPr="002B7DD2">
        <w:rPr>
          <w:rFonts w:ascii="Times" w:hAnsi="Times" w:cs="Times New Roman"/>
          <w:noProof/>
        </w:rPr>
        <w:t xml:space="preserve">, </w:t>
      </w:r>
      <w:r w:rsidRPr="002B7DD2">
        <w:rPr>
          <w:rFonts w:ascii="Times" w:hAnsi="Times" w:cs="Times New Roman"/>
          <w:i/>
          <w:iCs/>
          <w:noProof/>
        </w:rPr>
        <w:t>36</w:t>
      </w:r>
      <w:r w:rsidRPr="002B7DD2">
        <w:rPr>
          <w:rFonts w:ascii="Times" w:hAnsi="Times" w:cs="Times New Roman"/>
          <w:noProof/>
        </w:rPr>
        <w:t>(1), 89–94. https://doi.org/10.1038/nbt.4042</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Li, Y. I., Wong, G., Humphrey, J., &amp; Raj, T. (2019). Prioritizing Parkinson’s disease genes using population-scale transcriptomic data. </w:t>
      </w:r>
      <w:r w:rsidRPr="002B7DD2">
        <w:rPr>
          <w:rFonts w:ascii="Times" w:hAnsi="Times" w:cs="Times New Roman"/>
          <w:i/>
          <w:iCs/>
          <w:noProof/>
        </w:rPr>
        <w:t>Nature Communications</w:t>
      </w:r>
      <w:r w:rsidRPr="002B7DD2">
        <w:rPr>
          <w:rFonts w:ascii="Times" w:hAnsi="Times" w:cs="Times New Roman"/>
          <w:noProof/>
        </w:rPr>
        <w:t xml:space="preserve">, </w:t>
      </w:r>
      <w:r w:rsidRPr="002B7DD2">
        <w:rPr>
          <w:rFonts w:ascii="Times" w:hAnsi="Times" w:cs="Times New Roman"/>
          <w:i/>
          <w:iCs/>
          <w:noProof/>
        </w:rPr>
        <w:t>10</w:t>
      </w:r>
      <w:r w:rsidRPr="002B7DD2">
        <w:rPr>
          <w:rFonts w:ascii="Times" w:hAnsi="Times" w:cs="Times New Roman"/>
          <w:noProof/>
        </w:rPr>
        <w:t>(1), 1–10. https://doi.org/10.1038/s41467-019-08912-9</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Marshak, D. R., Pesce, S. A., Stanley, L. C., &amp; Griffin, W. S. T. (1992). Increased S100β neurotrophic activity in Alzheimer’s disease temporal lobe. </w:t>
      </w:r>
      <w:r w:rsidRPr="002B7DD2">
        <w:rPr>
          <w:rFonts w:ascii="Times" w:hAnsi="Times" w:cs="Times New Roman"/>
          <w:i/>
          <w:iCs/>
          <w:noProof/>
        </w:rPr>
        <w:t>Neurobiology of Aging</w:t>
      </w:r>
      <w:r w:rsidRPr="002B7DD2">
        <w:rPr>
          <w:rFonts w:ascii="Times" w:hAnsi="Times" w:cs="Times New Roman"/>
          <w:noProof/>
        </w:rPr>
        <w:t xml:space="preserve">, </w:t>
      </w:r>
      <w:r w:rsidRPr="002B7DD2">
        <w:rPr>
          <w:rFonts w:ascii="Times" w:hAnsi="Times" w:cs="Times New Roman"/>
          <w:i/>
          <w:iCs/>
          <w:noProof/>
        </w:rPr>
        <w:t>13</w:t>
      </w:r>
      <w:r w:rsidRPr="002B7DD2">
        <w:rPr>
          <w:rFonts w:ascii="Times" w:hAnsi="Times" w:cs="Times New Roman"/>
          <w:noProof/>
        </w:rPr>
        <w:t>(1), 1–7. https://doi.org/10.1016/0197-4580(92)90002-F</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Mukherjee, R., Kanti Barman, P., Kumar Thatoi, P., Tripathy, R., Kumar Das, B., &amp; Ravindran, B. (2015). Non-Classical monocytes display inflammatory features: Validation in Sepsis and Systemic Lupus Erythematous. </w:t>
      </w:r>
      <w:r w:rsidRPr="002B7DD2">
        <w:rPr>
          <w:rFonts w:ascii="Times" w:hAnsi="Times" w:cs="Times New Roman"/>
          <w:i/>
          <w:iCs/>
          <w:noProof/>
        </w:rPr>
        <w:t>Scientific Reports</w:t>
      </w:r>
      <w:r w:rsidRPr="002B7DD2">
        <w:rPr>
          <w:rFonts w:ascii="Times" w:hAnsi="Times" w:cs="Times New Roman"/>
          <w:noProof/>
        </w:rPr>
        <w:t xml:space="preserve">, </w:t>
      </w:r>
      <w:r w:rsidRPr="002B7DD2">
        <w:rPr>
          <w:rFonts w:ascii="Times" w:hAnsi="Times" w:cs="Times New Roman"/>
          <w:i/>
          <w:iCs/>
          <w:noProof/>
        </w:rPr>
        <w:t>5</w:t>
      </w:r>
      <w:r w:rsidRPr="002B7DD2">
        <w:rPr>
          <w:rFonts w:ascii="Times" w:hAnsi="Times" w:cs="Times New Roman"/>
          <w:noProof/>
        </w:rPr>
        <w:t>(May), 1–14. https://doi.org/10.1038/srep13886</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Nalls, M. (2018). Parkinson’s disease genetics: identifying novel risk loci, providing causal insights and improving estimates of heritable risk. </w:t>
      </w:r>
      <w:r w:rsidRPr="002B7DD2">
        <w:rPr>
          <w:rFonts w:ascii="Times" w:hAnsi="Times" w:cs="Times New Roman"/>
          <w:i/>
          <w:iCs/>
          <w:noProof/>
        </w:rPr>
        <w:t>Bioarxiv</w:t>
      </w:r>
      <w:r w:rsidRPr="002B7DD2">
        <w:rPr>
          <w:rFonts w:ascii="Times" w:hAnsi="Times" w:cs="Times New Roman"/>
          <w:noProof/>
        </w:rPr>
        <w:t>. https://doi.org/http://dx.doi.org/10.1101/388165</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Nalls, M. A., Blauwendraat, C., Vallerga, C. L., Heilbron, K., Bandres-Ciga, S., Chang, D., … Andrew B. Singleton for the International Parkinson’s Disease Genomics Consortium. (2018). Expanding Parkinson’s disease genetics: novel risk loci, genomic context, causal insights and heritable risk. </w:t>
      </w:r>
      <w:r w:rsidRPr="002B7DD2">
        <w:rPr>
          <w:rFonts w:ascii="Times" w:hAnsi="Times" w:cs="Times New Roman"/>
          <w:i/>
          <w:iCs/>
          <w:noProof/>
        </w:rPr>
        <w:t>BioaRxiv</w:t>
      </w:r>
      <w:r w:rsidRPr="002B7DD2">
        <w:rPr>
          <w:rFonts w:ascii="Times" w:hAnsi="Times" w:cs="Times New Roman"/>
          <w:noProof/>
        </w:rPr>
        <w:t>.</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Nalls, M. A., Pankratz, N., Lill, C. M., Do, C. B., Hernandez, D. G., Saad, M., … Singleton, A. B. (2014). Large-scale meta-analysis of genome-wide association data identifies six new risk loci for Parkinson’s disease. </w:t>
      </w:r>
      <w:r w:rsidRPr="002B7DD2">
        <w:rPr>
          <w:rFonts w:ascii="Times" w:hAnsi="Times" w:cs="Times New Roman"/>
          <w:i/>
          <w:iCs/>
          <w:noProof/>
        </w:rPr>
        <w:t>Nature Genetics</w:t>
      </w:r>
      <w:r w:rsidRPr="002B7DD2">
        <w:rPr>
          <w:rFonts w:ascii="Times" w:hAnsi="Times" w:cs="Times New Roman"/>
          <w:noProof/>
        </w:rPr>
        <w:t xml:space="preserve">, </w:t>
      </w:r>
      <w:r w:rsidRPr="002B7DD2">
        <w:rPr>
          <w:rFonts w:ascii="Times" w:hAnsi="Times" w:cs="Times New Roman"/>
          <w:i/>
          <w:iCs/>
          <w:noProof/>
        </w:rPr>
        <w:t>46</w:t>
      </w:r>
      <w:r w:rsidRPr="002B7DD2">
        <w:rPr>
          <w:rFonts w:ascii="Times" w:hAnsi="Times" w:cs="Times New Roman"/>
          <w:noProof/>
        </w:rPr>
        <w:t>(9), 989–993. https://doi.org/10.1038/ng.3043</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Nissen, S. K., Shrivastava, K., Schulte, C., Otzen, D. E., Goldeck, D., Berg, D., … Romero</w:t>
      </w:r>
      <w:r w:rsidRPr="002B7DD2">
        <w:rPr>
          <w:rFonts w:ascii="Cambria Math" w:hAnsi="Cambria Math" w:cs="Cambria Math"/>
          <w:noProof/>
        </w:rPr>
        <w:t>‐</w:t>
      </w:r>
      <w:r w:rsidRPr="002B7DD2">
        <w:rPr>
          <w:rFonts w:ascii="Times" w:hAnsi="Times" w:cs="Times New Roman"/>
          <w:noProof/>
        </w:rPr>
        <w:t xml:space="preserve">Ramos, M. (2019). Alterations in Blood Monocyte Functions in Parkinson’s Disease. </w:t>
      </w:r>
      <w:r w:rsidRPr="002B7DD2">
        <w:rPr>
          <w:rFonts w:ascii="Times" w:hAnsi="Times" w:cs="Times New Roman"/>
          <w:i/>
          <w:iCs/>
          <w:noProof/>
        </w:rPr>
        <w:t>Movement Disorders</w:t>
      </w:r>
      <w:r w:rsidRPr="002B7DD2">
        <w:rPr>
          <w:rFonts w:ascii="Times" w:hAnsi="Times" w:cs="Times New Roman"/>
          <w:noProof/>
        </w:rPr>
        <w:t>, (June), mds.27815. https://doi.org/10.1002/mds.27815</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lastRenderedPageBreak/>
        <w:t xml:space="preserve">Poewe, W., Seppi, K., Tanner, C. M., Halliday, G. M., Brundin, P., Volkmann, J., … Abstract. (2018). Parkinson disease. </w:t>
      </w:r>
      <w:r w:rsidRPr="002B7DD2">
        <w:rPr>
          <w:rFonts w:ascii="Times" w:hAnsi="Times" w:cs="Times New Roman"/>
          <w:i/>
          <w:iCs/>
          <w:noProof/>
        </w:rPr>
        <w:t>Nature Reviews</w:t>
      </w:r>
      <w:r w:rsidRPr="002B7DD2">
        <w:rPr>
          <w:rFonts w:ascii="Times" w:hAnsi="Times" w:cs="Times New Roman"/>
          <w:noProof/>
        </w:rPr>
        <w:t xml:space="preserve">, </w:t>
      </w:r>
      <w:r w:rsidRPr="002B7DD2">
        <w:rPr>
          <w:rFonts w:ascii="Times" w:hAnsi="Times" w:cs="Times New Roman"/>
          <w:i/>
          <w:iCs/>
          <w:noProof/>
        </w:rPr>
        <w:t>3</w:t>
      </w:r>
      <w:r w:rsidRPr="002B7DD2">
        <w:rPr>
          <w:rFonts w:ascii="Times" w:hAnsi="Times" w:cs="Times New Roman"/>
          <w:noProof/>
        </w:rPr>
        <w:t>, 17013. https://doi.org/10.1016/B978-0-444-63916-5.00011-2</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Raj, T., Rothamel, K., Mostafavi, S., Ye, C., Lee, M. N., Replogle, J. M., … Jager, P. L. De. (2014). Polarization of the effects of autoimmune and neurodegenerative risk alleles in leukocytes. </w:t>
      </w:r>
      <w:r w:rsidRPr="002B7DD2">
        <w:rPr>
          <w:rFonts w:ascii="Times" w:hAnsi="Times" w:cs="Times New Roman"/>
          <w:i/>
          <w:iCs/>
          <w:noProof/>
        </w:rPr>
        <w:t>Science</w:t>
      </w:r>
      <w:r w:rsidRPr="002B7DD2">
        <w:rPr>
          <w:rFonts w:ascii="Times" w:hAnsi="Times" w:cs="Times New Roman"/>
          <w:noProof/>
        </w:rPr>
        <w:t xml:space="preserve">, </w:t>
      </w:r>
      <w:r w:rsidRPr="002B7DD2">
        <w:rPr>
          <w:rFonts w:ascii="Times" w:hAnsi="Times" w:cs="Times New Roman"/>
          <w:i/>
          <w:iCs/>
          <w:noProof/>
        </w:rPr>
        <w:t>344</w:t>
      </w:r>
      <w:r w:rsidRPr="002B7DD2">
        <w:rPr>
          <w:rFonts w:ascii="Times" w:hAnsi="Times" w:cs="Times New Roman"/>
          <w:noProof/>
        </w:rPr>
        <w:t>(May), 519–524.</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Ramdhani, S., Navarro, E., Udine, E., Schilder, B. M., Parks, M., &amp; Raj, T. (2018). Tensor Decomposition of Stimulated Monocyte and Macrophage Gene Expression Profiles Identifies Neurodegenerative Disease-specific Trans-eQTLs. </w:t>
      </w:r>
      <w:r w:rsidRPr="002B7DD2">
        <w:rPr>
          <w:rFonts w:ascii="Times" w:hAnsi="Times" w:cs="Times New Roman"/>
          <w:i/>
          <w:iCs/>
          <w:noProof/>
        </w:rPr>
        <w:t>BioRxiv</w:t>
      </w:r>
      <w:r w:rsidRPr="002B7DD2">
        <w:rPr>
          <w:rFonts w:ascii="Times" w:hAnsi="Times" w:cs="Times New Roman"/>
          <w:noProof/>
        </w:rPr>
        <w:t>, 499509. https://doi.org/10.1101/499509</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Raudvere, U., Kolberg, L., Kuzmin, I., Arak, T., Adler, P., Peterson, H., &amp; Vilo, J. (2019). g:Profiler: a web server for functional enrichment analysis and conversions of gene lists (2019 update). </w:t>
      </w:r>
      <w:r w:rsidRPr="002B7DD2">
        <w:rPr>
          <w:rFonts w:ascii="Times" w:hAnsi="Times" w:cs="Times New Roman"/>
          <w:i/>
          <w:iCs/>
          <w:noProof/>
        </w:rPr>
        <w:t>Nucleic Acids Research</w:t>
      </w:r>
      <w:r w:rsidRPr="002B7DD2">
        <w:rPr>
          <w:rFonts w:ascii="Times" w:hAnsi="Times" w:cs="Times New Roman"/>
          <w:noProof/>
        </w:rPr>
        <w:t xml:space="preserve">, </w:t>
      </w:r>
      <w:r w:rsidRPr="002B7DD2">
        <w:rPr>
          <w:rFonts w:ascii="Times" w:hAnsi="Times" w:cs="Times New Roman"/>
          <w:i/>
          <w:iCs/>
          <w:noProof/>
        </w:rPr>
        <w:t>47</w:t>
      </w:r>
      <w:r w:rsidRPr="002B7DD2">
        <w:rPr>
          <w:rFonts w:ascii="Times" w:hAnsi="Times" w:cs="Times New Roman"/>
          <w:noProof/>
        </w:rPr>
        <w:t>(W1), W191–W198. https://doi.org/10.1093/nar/gkz369</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Stoeckius, M., Zheng, S., Houck-Loomis, B., Hao, S., Yeung, B. Z., Smibert, P., &amp; Satija, R. (2018). Cell “hashing” with barcoded antibodies enables multiplexing and doublet detection for single cell genomics. </w:t>
      </w:r>
      <w:r w:rsidRPr="002B7DD2">
        <w:rPr>
          <w:rFonts w:ascii="Times" w:hAnsi="Times" w:cs="Times New Roman"/>
          <w:i/>
          <w:iCs/>
          <w:noProof/>
        </w:rPr>
        <w:t>Genome Biology</w:t>
      </w:r>
      <w:r w:rsidRPr="002B7DD2">
        <w:rPr>
          <w:rFonts w:ascii="Times" w:hAnsi="Times" w:cs="Times New Roman"/>
          <w:noProof/>
        </w:rPr>
        <w:t>, 237693. https://doi.org/10.1101/237693</w:t>
      </w:r>
    </w:p>
    <w:p w:rsidR="002B7DD2" w:rsidRPr="002B7DD2" w:rsidRDefault="002B7DD2" w:rsidP="002B7DD2">
      <w:pPr>
        <w:widowControl w:val="0"/>
        <w:autoSpaceDE w:val="0"/>
        <w:autoSpaceDN w:val="0"/>
        <w:adjustRightInd w:val="0"/>
        <w:ind w:left="480" w:hanging="480"/>
        <w:rPr>
          <w:rFonts w:ascii="Times" w:hAnsi="Times" w:cs="Times New Roman"/>
          <w:noProof/>
        </w:rPr>
      </w:pPr>
      <w:r w:rsidRPr="002B7DD2">
        <w:rPr>
          <w:rFonts w:ascii="Times" w:hAnsi="Times" w:cs="Times New Roman"/>
          <w:noProof/>
        </w:rPr>
        <w:t xml:space="preserve">Villani, A. C., Satija, R., Reynolds, G., Sarkizova, S., Shekhar, K., Fletcher, J., … Jardine, L. (2017). Single-cell RNA-Seq reveals new types of human blood dendritic cells, monocytes, and progenitors. </w:t>
      </w:r>
      <w:r w:rsidRPr="002B7DD2">
        <w:rPr>
          <w:rFonts w:ascii="Times" w:hAnsi="Times" w:cs="Times New Roman"/>
          <w:i/>
          <w:iCs/>
          <w:noProof/>
        </w:rPr>
        <w:t>Science</w:t>
      </w:r>
      <w:r w:rsidRPr="002B7DD2">
        <w:rPr>
          <w:rFonts w:ascii="Times" w:hAnsi="Times" w:cs="Times New Roman"/>
          <w:noProof/>
        </w:rPr>
        <w:t xml:space="preserve">, </w:t>
      </w:r>
      <w:r w:rsidRPr="002B7DD2">
        <w:rPr>
          <w:rFonts w:ascii="Times" w:hAnsi="Times" w:cs="Times New Roman"/>
          <w:i/>
          <w:iCs/>
          <w:noProof/>
        </w:rPr>
        <w:t>101</w:t>
      </w:r>
      <w:r w:rsidRPr="002B7DD2">
        <w:rPr>
          <w:rFonts w:ascii="Times" w:hAnsi="Times" w:cs="Times New Roman"/>
          <w:noProof/>
        </w:rPr>
        <w:t>(9), 1955–1956. https://doi.org/10.1097/TP.0000000000001890</w:t>
      </w:r>
    </w:p>
    <w:p w:rsidR="002B7DD2" w:rsidRPr="002B7DD2" w:rsidRDefault="002B7DD2" w:rsidP="002B7DD2">
      <w:pPr>
        <w:widowControl w:val="0"/>
        <w:autoSpaceDE w:val="0"/>
        <w:autoSpaceDN w:val="0"/>
        <w:adjustRightInd w:val="0"/>
        <w:ind w:left="480" w:hanging="480"/>
        <w:rPr>
          <w:rFonts w:ascii="Times" w:hAnsi="Times"/>
          <w:noProof/>
        </w:rPr>
      </w:pPr>
      <w:r w:rsidRPr="002B7DD2">
        <w:rPr>
          <w:rFonts w:ascii="Times" w:hAnsi="Times" w:cs="Times New Roman"/>
          <w:noProof/>
        </w:rPr>
        <w:t xml:space="preserve">Xia, C., Braunstein, Z., Toomey, A. C., Zhong, J., &amp; Rao, X. (2018). S100 proteins as an important regulator of macrophage inflammation. </w:t>
      </w:r>
      <w:r w:rsidRPr="002B7DD2">
        <w:rPr>
          <w:rFonts w:ascii="Times" w:hAnsi="Times" w:cs="Times New Roman"/>
          <w:i/>
          <w:iCs/>
          <w:noProof/>
        </w:rPr>
        <w:t>Frontiers in Immunology</w:t>
      </w:r>
      <w:r w:rsidRPr="002B7DD2">
        <w:rPr>
          <w:rFonts w:ascii="Times" w:hAnsi="Times" w:cs="Times New Roman"/>
          <w:noProof/>
        </w:rPr>
        <w:t xml:space="preserve">, </w:t>
      </w:r>
      <w:r w:rsidRPr="002B7DD2">
        <w:rPr>
          <w:rFonts w:ascii="Times" w:hAnsi="Times" w:cs="Times New Roman"/>
          <w:i/>
          <w:iCs/>
          <w:noProof/>
        </w:rPr>
        <w:t>8</w:t>
      </w:r>
      <w:r w:rsidRPr="002B7DD2">
        <w:rPr>
          <w:rFonts w:ascii="Times" w:hAnsi="Times" w:cs="Times New Roman"/>
          <w:noProof/>
        </w:rPr>
        <w:t>(JAN), 1–11. https://doi.org/10.3389/fimmu.2017.01908</w:t>
      </w:r>
    </w:p>
    <w:p w:rsidR="00AB37E3" w:rsidRPr="00427AAC" w:rsidRDefault="00AB37E3" w:rsidP="002B7DD2">
      <w:pPr>
        <w:widowControl w:val="0"/>
        <w:autoSpaceDE w:val="0"/>
        <w:autoSpaceDN w:val="0"/>
        <w:adjustRightInd w:val="0"/>
        <w:ind w:left="480" w:hanging="480"/>
        <w:rPr>
          <w:rFonts w:ascii="Times" w:hAnsi="Times"/>
        </w:rPr>
      </w:pPr>
      <w:r>
        <w:rPr>
          <w:rFonts w:ascii="Times" w:hAnsi="Times"/>
        </w:rPr>
        <w:fldChar w:fldCharType="end"/>
      </w:r>
    </w:p>
    <w:sectPr w:rsidR="00AB37E3" w:rsidRPr="00427AAC" w:rsidSect="00E921B5">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2EB" w:rsidRDefault="007022EB" w:rsidP="006C469B">
      <w:r>
        <w:separator/>
      </w:r>
    </w:p>
  </w:endnote>
  <w:endnote w:type="continuationSeparator" w:id="0">
    <w:p w:rsidR="007022EB" w:rsidRDefault="007022EB" w:rsidP="006C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2EB" w:rsidRDefault="007022EB" w:rsidP="006C469B">
      <w:r>
        <w:separator/>
      </w:r>
    </w:p>
  </w:footnote>
  <w:footnote w:type="continuationSeparator" w:id="0">
    <w:p w:rsidR="007022EB" w:rsidRDefault="007022EB" w:rsidP="006C4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137183"/>
      <w:docPartObj>
        <w:docPartGallery w:val="Page Numbers (Top of Page)"/>
        <w:docPartUnique/>
      </w:docPartObj>
    </w:sdtPr>
    <w:sdtContent>
      <w:p w:rsidR="001E254C" w:rsidRDefault="001E254C" w:rsidP="001E25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254C" w:rsidRDefault="001E254C" w:rsidP="006C46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822227046"/>
      <w:docPartObj>
        <w:docPartGallery w:val="Page Numbers (Top of Page)"/>
        <w:docPartUnique/>
      </w:docPartObj>
    </w:sdtPr>
    <w:sdtContent>
      <w:p w:rsidR="001E254C" w:rsidRPr="006C469B" w:rsidRDefault="001E254C" w:rsidP="001E254C">
        <w:pPr>
          <w:pStyle w:val="Header"/>
          <w:framePr w:wrap="none" w:vAnchor="text" w:hAnchor="margin" w:xAlign="right" w:y="1"/>
          <w:rPr>
            <w:rStyle w:val="PageNumber"/>
            <w:rFonts w:ascii="Times" w:hAnsi="Times"/>
          </w:rPr>
        </w:pPr>
        <w:r w:rsidRPr="006C469B">
          <w:rPr>
            <w:rStyle w:val="PageNumber"/>
            <w:rFonts w:ascii="Times" w:hAnsi="Times"/>
          </w:rPr>
          <w:fldChar w:fldCharType="begin"/>
        </w:r>
        <w:r w:rsidRPr="006C469B">
          <w:rPr>
            <w:rStyle w:val="PageNumber"/>
            <w:rFonts w:ascii="Times" w:hAnsi="Times"/>
          </w:rPr>
          <w:instrText xml:space="preserve"> PAGE </w:instrText>
        </w:r>
        <w:r w:rsidRPr="006C469B">
          <w:rPr>
            <w:rStyle w:val="PageNumber"/>
            <w:rFonts w:ascii="Times" w:hAnsi="Times"/>
          </w:rPr>
          <w:fldChar w:fldCharType="separate"/>
        </w:r>
        <w:r w:rsidRPr="006C469B">
          <w:rPr>
            <w:rStyle w:val="PageNumber"/>
            <w:rFonts w:ascii="Times" w:hAnsi="Times"/>
            <w:noProof/>
          </w:rPr>
          <w:t>1</w:t>
        </w:r>
        <w:r w:rsidRPr="006C469B">
          <w:rPr>
            <w:rStyle w:val="PageNumber"/>
            <w:rFonts w:ascii="Times" w:hAnsi="Times"/>
          </w:rPr>
          <w:fldChar w:fldCharType="end"/>
        </w:r>
      </w:p>
    </w:sdtContent>
  </w:sdt>
  <w:p w:rsidR="001E254C" w:rsidRPr="006C469B" w:rsidRDefault="001E254C" w:rsidP="006C469B">
    <w:pPr>
      <w:pStyle w:val="Header"/>
      <w:ind w:right="360"/>
      <w:rPr>
        <w:rFonts w:ascii="Times" w:hAnsi="Times"/>
        <w:i/>
        <w:iCs/>
      </w:rPr>
    </w:pPr>
    <w:r w:rsidRPr="006C469B">
      <w:rPr>
        <w:rFonts w:ascii="Times" w:hAnsi="Times"/>
        <w:i/>
        <w:iCs/>
      </w:rPr>
      <w:t xml:space="preserve">PD </w:t>
    </w:r>
    <w:proofErr w:type="spellStart"/>
    <w:r w:rsidRPr="006C469B">
      <w:rPr>
        <w:rFonts w:ascii="Times" w:hAnsi="Times"/>
        <w:i/>
        <w:iCs/>
      </w:rPr>
      <w:t>scRNA</w:t>
    </w:r>
    <w:proofErr w:type="spellEnd"/>
    <w:r w:rsidRPr="006C469B">
      <w:rPr>
        <w:rFonts w:ascii="Times" w:hAnsi="Times"/>
        <w:i/>
        <w:iCs/>
      </w:rPr>
      <w:t>-seq Manuscript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EAE"/>
    <w:multiLevelType w:val="hybridMultilevel"/>
    <w:tmpl w:val="7E46BA50"/>
    <w:lvl w:ilvl="0" w:tplc="45321DD6">
      <w:start w:val="1"/>
      <w:numFmt w:val="bullet"/>
      <w:lvlText w:val="•"/>
      <w:lvlJc w:val="left"/>
      <w:pPr>
        <w:tabs>
          <w:tab w:val="num" w:pos="720"/>
        </w:tabs>
        <w:ind w:left="720" w:hanging="360"/>
      </w:pPr>
      <w:rPr>
        <w:rFonts w:ascii="Arial" w:hAnsi="Arial" w:hint="default"/>
      </w:rPr>
    </w:lvl>
    <w:lvl w:ilvl="1" w:tplc="F7E6C892">
      <w:start w:val="1"/>
      <w:numFmt w:val="bullet"/>
      <w:lvlText w:val="•"/>
      <w:lvlJc w:val="left"/>
      <w:pPr>
        <w:tabs>
          <w:tab w:val="num" w:pos="1440"/>
        </w:tabs>
        <w:ind w:left="1440" w:hanging="360"/>
      </w:pPr>
      <w:rPr>
        <w:rFonts w:ascii="Arial" w:hAnsi="Arial" w:hint="default"/>
      </w:rPr>
    </w:lvl>
    <w:lvl w:ilvl="2" w:tplc="2EBA1342" w:tentative="1">
      <w:start w:val="1"/>
      <w:numFmt w:val="bullet"/>
      <w:lvlText w:val="•"/>
      <w:lvlJc w:val="left"/>
      <w:pPr>
        <w:tabs>
          <w:tab w:val="num" w:pos="2160"/>
        </w:tabs>
        <w:ind w:left="2160" w:hanging="360"/>
      </w:pPr>
      <w:rPr>
        <w:rFonts w:ascii="Arial" w:hAnsi="Arial" w:hint="default"/>
      </w:rPr>
    </w:lvl>
    <w:lvl w:ilvl="3" w:tplc="2FFA0406" w:tentative="1">
      <w:start w:val="1"/>
      <w:numFmt w:val="bullet"/>
      <w:lvlText w:val="•"/>
      <w:lvlJc w:val="left"/>
      <w:pPr>
        <w:tabs>
          <w:tab w:val="num" w:pos="2880"/>
        </w:tabs>
        <w:ind w:left="2880" w:hanging="360"/>
      </w:pPr>
      <w:rPr>
        <w:rFonts w:ascii="Arial" w:hAnsi="Arial" w:hint="default"/>
      </w:rPr>
    </w:lvl>
    <w:lvl w:ilvl="4" w:tplc="C48496AC" w:tentative="1">
      <w:start w:val="1"/>
      <w:numFmt w:val="bullet"/>
      <w:lvlText w:val="•"/>
      <w:lvlJc w:val="left"/>
      <w:pPr>
        <w:tabs>
          <w:tab w:val="num" w:pos="3600"/>
        </w:tabs>
        <w:ind w:left="3600" w:hanging="360"/>
      </w:pPr>
      <w:rPr>
        <w:rFonts w:ascii="Arial" w:hAnsi="Arial" w:hint="default"/>
      </w:rPr>
    </w:lvl>
    <w:lvl w:ilvl="5" w:tplc="BB62369E" w:tentative="1">
      <w:start w:val="1"/>
      <w:numFmt w:val="bullet"/>
      <w:lvlText w:val="•"/>
      <w:lvlJc w:val="left"/>
      <w:pPr>
        <w:tabs>
          <w:tab w:val="num" w:pos="4320"/>
        </w:tabs>
        <w:ind w:left="4320" w:hanging="360"/>
      </w:pPr>
      <w:rPr>
        <w:rFonts w:ascii="Arial" w:hAnsi="Arial" w:hint="default"/>
      </w:rPr>
    </w:lvl>
    <w:lvl w:ilvl="6" w:tplc="C5026F7E" w:tentative="1">
      <w:start w:val="1"/>
      <w:numFmt w:val="bullet"/>
      <w:lvlText w:val="•"/>
      <w:lvlJc w:val="left"/>
      <w:pPr>
        <w:tabs>
          <w:tab w:val="num" w:pos="5040"/>
        </w:tabs>
        <w:ind w:left="5040" w:hanging="360"/>
      </w:pPr>
      <w:rPr>
        <w:rFonts w:ascii="Arial" w:hAnsi="Arial" w:hint="default"/>
      </w:rPr>
    </w:lvl>
    <w:lvl w:ilvl="7" w:tplc="AC1AD456" w:tentative="1">
      <w:start w:val="1"/>
      <w:numFmt w:val="bullet"/>
      <w:lvlText w:val="•"/>
      <w:lvlJc w:val="left"/>
      <w:pPr>
        <w:tabs>
          <w:tab w:val="num" w:pos="5760"/>
        </w:tabs>
        <w:ind w:left="5760" w:hanging="360"/>
      </w:pPr>
      <w:rPr>
        <w:rFonts w:ascii="Arial" w:hAnsi="Arial" w:hint="default"/>
      </w:rPr>
    </w:lvl>
    <w:lvl w:ilvl="8" w:tplc="7FF430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D04AA"/>
    <w:multiLevelType w:val="hybridMultilevel"/>
    <w:tmpl w:val="56B49F16"/>
    <w:lvl w:ilvl="0" w:tplc="9CFA93CE">
      <w:start w:val="1"/>
      <w:numFmt w:val="bullet"/>
      <w:lvlText w:val="•"/>
      <w:lvlJc w:val="left"/>
      <w:pPr>
        <w:tabs>
          <w:tab w:val="num" w:pos="720"/>
        </w:tabs>
        <w:ind w:left="720" w:hanging="360"/>
      </w:pPr>
      <w:rPr>
        <w:rFonts w:ascii="Arial" w:hAnsi="Arial" w:hint="default"/>
      </w:rPr>
    </w:lvl>
    <w:lvl w:ilvl="1" w:tplc="C4301AF2">
      <w:numFmt w:val="bullet"/>
      <w:lvlText w:val="•"/>
      <w:lvlJc w:val="left"/>
      <w:pPr>
        <w:tabs>
          <w:tab w:val="num" w:pos="1440"/>
        </w:tabs>
        <w:ind w:left="1440" w:hanging="360"/>
      </w:pPr>
      <w:rPr>
        <w:rFonts w:ascii="Arial" w:hAnsi="Arial" w:hint="default"/>
      </w:rPr>
    </w:lvl>
    <w:lvl w:ilvl="2" w:tplc="2E888D8E" w:tentative="1">
      <w:start w:val="1"/>
      <w:numFmt w:val="bullet"/>
      <w:lvlText w:val="•"/>
      <w:lvlJc w:val="left"/>
      <w:pPr>
        <w:tabs>
          <w:tab w:val="num" w:pos="2160"/>
        </w:tabs>
        <w:ind w:left="2160" w:hanging="360"/>
      </w:pPr>
      <w:rPr>
        <w:rFonts w:ascii="Arial" w:hAnsi="Arial" w:hint="default"/>
      </w:rPr>
    </w:lvl>
    <w:lvl w:ilvl="3" w:tplc="FD7C18B0" w:tentative="1">
      <w:start w:val="1"/>
      <w:numFmt w:val="bullet"/>
      <w:lvlText w:val="•"/>
      <w:lvlJc w:val="left"/>
      <w:pPr>
        <w:tabs>
          <w:tab w:val="num" w:pos="2880"/>
        </w:tabs>
        <w:ind w:left="2880" w:hanging="360"/>
      </w:pPr>
      <w:rPr>
        <w:rFonts w:ascii="Arial" w:hAnsi="Arial" w:hint="default"/>
      </w:rPr>
    </w:lvl>
    <w:lvl w:ilvl="4" w:tplc="9B42A5DC" w:tentative="1">
      <w:start w:val="1"/>
      <w:numFmt w:val="bullet"/>
      <w:lvlText w:val="•"/>
      <w:lvlJc w:val="left"/>
      <w:pPr>
        <w:tabs>
          <w:tab w:val="num" w:pos="3600"/>
        </w:tabs>
        <w:ind w:left="3600" w:hanging="360"/>
      </w:pPr>
      <w:rPr>
        <w:rFonts w:ascii="Arial" w:hAnsi="Arial" w:hint="default"/>
      </w:rPr>
    </w:lvl>
    <w:lvl w:ilvl="5" w:tplc="5928D17A" w:tentative="1">
      <w:start w:val="1"/>
      <w:numFmt w:val="bullet"/>
      <w:lvlText w:val="•"/>
      <w:lvlJc w:val="left"/>
      <w:pPr>
        <w:tabs>
          <w:tab w:val="num" w:pos="4320"/>
        </w:tabs>
        <w:ind w:left="4320" w:hanging="360"/>
      </w:pPr>
      <w:rPr>
        <w:rFonts w:ascii="Arial" w:hAnsi="Arial" w:hint="default"/>
      </w:rPr>
    </w:lvl>
    <w:lvl w:ilvl="6" w:tplc="ADD0AD12" w:tentative="1">
      <w:start w:val="1"/>
      <w:numFmt w:val="bullet"/>
      <w:lvlText w:val="•"/>
      <w:lvlJc w:val="left"/>
      <w:pPr>
        <w:tabs>
          <w:tab w:val="num" w:pos="5040"/>
        </w:tabs>
        <w:ind w:left="5040" w:hanging="360"/>
      </w:pPr>
      <w:rPr>
        <w:rFonts w:ascii="Arial" w:hAnsi="Arial" w:hint="default"/>
      </w:rPr>
    </w:lvl>
    <w:lvl w:ilvl="7" w:tplc="23EA1542" w:tentative="1">
      <w:start w:val="1"/>
      <w:numFmt w:val="bullet"/>
      <w:lvlText w:val="•"/>
      <w:lvlJc w:val="left"/>
      <w:pPr>
        <w:tabs>
          <w:tab w:val="num" w:pos="5760"/>
        </w:tabs>
        <w:ind w:left="5760" w:hanging="360"/>
      </w:pPr>
      <w:rPr>
        <w:rFonts w:ascii="Arial" w:hAnsi="Arial" w:hint="default"/>
      </w:rPr>
    </w:lvl>
    <w:lvl w:ilvl="8" w:tplc="D1DC6F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7578D6"/>
    <w:multiLevelType w:val="hybridMultilevel"/>
    <w:tmpl w:val="780607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9D5CD0"/>
    <w:multiLevelType w:val="hybridMultilevel"/>
    <w:tmpl w:val="A1EC4A66"/>
    <w:lvl w:ilvl="0" w:tplc="A8E844C2">
      <w:start w:val="1"/>
      <w:numFmt w:val="decimal"/>
      <w:lvlText w:val="%1."/>
      <w:lvlJc w:val="left"/>
      <w:pPr>
        <w:tabs>
          <w:tab w:val="num" w:pos="720"/>
        </w:tabs>
        <w:ind w:left="720" w:hanging="360"/>
      </w:pPr>
    </w:lvl>
    <w:lvl w:ilvl="1" w:tplc="58EA9D6C" w:tentative="1">
      <w:start w:val="1"/>
      <w:numFmt w:val="decimal"/>
      <w:lvlText w:val="%2."/>
      <w:lvlJc w:val="left"/>
      <w:pPr>
        <w:tabs>
          <w:tab w:val="num" w:pos="1440"/>
        </w:tabs>
        <w:ind w:left="1440" w:hanging="360"/>
      </w:pPr>
    </w:lvl>
    <w:lvl w:ilvl="2" w:tplc="D42C4D54" w:tentative="1">
      <w:start w:val="1"/>
      <w:numFmt w:val="decimal"/>
      <w:lvlText w:val="%3."/>
      <w:lvlJc w:val="left"/>
      <w:pPr>
        <w:tabs>
          <w:tab w:val="num" w:pos="2160"/>
        </w:tabs>
        <w:ind w:left="2160" w:hanging="360"/>
      </w:pPr>
    </w:lvl>
    <w:lvl w:ilvl="3" w:tplc="F4E8FC30" w:tentative="1">
      <w:start w:val="1"/>
      <w:numFmt w:val="decimal"/>
      <w:lvlText w:val="%4."/>
      <w:lvlJc w:val="left"/>
      <w:pPr>
        <w:tabs>
          <w:tab w:val="num" w:pos="2880"/>
        </w:tabs>
        <w:ind w:left="2880" w:hanging="360"/>
      </w:pPr>
    </w:lvl>
    <w:lvl w:ilvl="4" w:tplc="87706A78" w:tentative="1">
      <w:start w:val="1"/>
      <w:numFmt w:val="decimal"/>
      <w:lvlText w:val="%5."/>
      <w:lvlJc w:val="left"/>
      <w:pPr>
        <w:tabs>
          <w:tab w:val="num" w:pos="3600"/>
        </w:tabs>
        <w:ind w:left="3600" w:hanging="360"/>
      </w:pPr>
    </w:lvl>
    <w:lvl w:ilvl="5" w:tplc="09B0005A" w:tentative="1">
      <w:start w:val="1"/>
      <w:numFmt w:val="decimal"/>
      <w:lvlText w:val="%6."/>
      <w:lvlJc w:val="left"/>
      <w:pPr>
        <w:tabs>
          <w:tab w:val="num" w:pos="4320"/>
        </w:tabs>
        <w:ind w:left="4320" w:hanging="360"/>
      </w:pPr>
    </w:lvl>
    <w:lvl w:ilvl="6" w:tplc="CF06B8B2" w:tentative="1">
      <w:start w:val="1"/>
      <w:numFmt w:val="decimal"/>
      <w:lvlText w:val="%7."/>
      <w:lvlJc w:val="left"/>
      <w:pPr>
        <w:tabs>
          <w:tab w:val="num" w:pos="5040"/>
        </w:tabs>
        <w:ind w:left="5040" w:hanging="360"/>
      </w:pPr>
    </w:lvl>
    <w:lvl w:ilvl="7" w:tplc="3528A0AA" w:tentative="1">
      <w:start w:val="1"/>
      <w:numFmt w:val="decimal"/>
      <w:lvlText w:val="%8."/>
      <w:lvlJc w:val="left"/>
      <w:pPr>
        <w:tabs>
          <w:tab w:val="num" w:pos="5760"/>
        </w:tabs>
        <w:ind w:left="5760" w:hanging="360"/>
      </w:pPr>
    </w:lvl>
    <w:lvl w:ilvl="8" w:tplc="35AC7A36" w:tentative="1">
      <w:start w:val="1"/>
      <w:numFmt w:val="decimal"/>
      <w:lvlText w:val="%9."/>
      <w:lvlJc w:val="left"/>
      <w:pPr>
        <w:tabs>
          <w:tab w:val="num" w:pos="6480"/>
        </w:tabs>
        <w:ind w:left="6480" w:hanging="360"/>
      </w:pPr>
    </w:lvl>
  </w:abstractNum>
  <w:abstractNum w:abstractNumId="4" w15:restartNumberingAfterBreak="0">
    <w:nsid w:val="43AB4AB9"/>
    <w:multiLevelType w:val="hybridMultilevel"/>
    <w:tmpl w:val="C2DC2962"/>
    <w:lvl w:ilvl="0" w:tplc="0E088434">
      <w:start w:val="1"/>
      <w:numFmt w:val="bullet"/>
      <w:lvlText w:val="•"/>
      <w:lvlJc w:val="left"/>
      <w:pPr>
        <w:tabs>
          <w:tab w:val="num" w:pos="720"/>
        </w:tabs>
        <w:ind w:left="720" w:hanging="360"/>
      </w:pPr>
      <w:rPr>
        <w:rFonts w:ascii="Arial" w:hAnsi="Arial" w:hint="default"/>
      </w:rPr>
    </w:lvl>
    <w:lvl w:ilvl="1" w:tplc="678CE898" w:tentative="1">
      <w:start w:val="1"/>
      <w:numFmt w:val="bullet"/>
      <w:lvlText w:val="•"/>
      <w:lvlJc w:val="left"/>
      <w:pPr>
        <w:tabs>
          <w:tab w:val="num" w:pos="1440"/>
        </w:tabs>
        <w:ind w:left="1440" w:hanging="360"/>
      </w:pPr>
      <w:rPr>
        <w:rFonts w:ascii="Arial" w:hAnsi="Arial" w:hint="default"/>
      </w:rPr>
    </w:lvl>
    <w:lvl w:ilvl="2" w:tplc="919EE586" w:tentative="1">
      <w:start w:val="1"/>
      <w:numFmt w:val="bullet"/>
      <w:lvlText w:val="•"/>
      <w:lvlJc w:val="left"/>
      <w:pPr>
        <w:tabs>
          <w:tab w:val="num" w:pos="2160"/>
        </w:tabs>
        <w:ind w:left="2160" w:hanging="360"/>
      </w:pPr>
      <w:rPr>
        <w:rFonts w:ascii="Arial" w:hAnsi="Arial" w:hint="default"/>
      </w:rPr>
    </w:lvl>
    <w:lvl w:ilvl="3" w:tplc="02747E74" w:tentative="1">
      <w:start w:val="1"/>
      <w:numFmt w:val="bullet"/>
      <w:lvlText w:val="•"/>
      <w:lvlJc w:val="left"/>
      <w:pPr>
        <w:tabs>
          <w:tab w:val="num" w:pos="2880"/>
        </w:tabs>
        <w:ind w:left="2880" w:hanging="360"/>
      </w:pPr>
      <w:rPr>
        <w:rFonts w:ascii="Arial" w:hAnsi="Arial" w:hint="default"/>
      </w:rPr>
    </w:lvl>
    <w:lvl w:ilvl="4" w:tplc="876812AC" w:tentative="1">
      <w:start w:val="1"/>
      <w:numFmt w:val="bullet"/>
      <w:lvlText w:val="•"/>
      <w:lvlJc w:val="left"/>
      <w:pPr>
        <w:tabs>
          <w:tab w:val="num" w:pos="3600"/>
        </w:tabs>
        <w:ind w:left="3600" w:hanging="360"/>
      </w:pPr>
      <w:rPr>
        <w:rFonts w:ascii="Arial" w:hAnsi="Arial" w:hint="default"/>
      </w:rPr>
    </w:lvl>
    <w:lvl w:ilvl="5" w:tplc="937EEAAE" w:tentative="1">
      <w:start w:val="1"/>
      <w:numFmt w:val="bullet"/>
      <w:lvlText w:val="•"/>
      <w:lvlJc w:val="left"/>
      <w:pPr>
        <w:tabs>
          <w:tab w:val="num" w:pos="4320"/>
        </w:tabs>
        <w:ind w:left="4320" w:hanging="360"/>
      </w:pPr>
      <w:rPr>
        <w:rFonts w:ascii="Arial" w:hAnsi="Arial" w:hint="default"/>
      </w:rPr>
    </w:lvl>
    <w:lvl w:ilvl="6" w:tplc="9F30A4A2" w:tentative="1">
      <w:start w:val="1"/>
      <w:numFmt w:val="bullet"/>
      <w:lvlText w:val="•"/>
      <w:lvlJc w:val="left"/>
      <w:pPr>
        <w:tabs>
          <w:tab w:val="num" w:pos="5040"/>
        </w:tabs>
        <w:ind w:left="5040" w:hanging="360"/>
      </w:pPr>
      <w:rPr>
        <w:rFonts w:ascii="Arial" w:hAnsi="Arial" w:hint="default"/>
      </w:rPr>
    </w:lvl>
    <w:lvl w:ilvl="7" w:tplc="8A3831D4" w:tentative="1">
      <w:start w:val="1"/>
      <w:numFmt w:val="bullet"/>
      <w:lvlText w:val="•"/>
      <w:lvlJc w:val="left"/>
      <w:pPr>
        <w:tabs>
          <w:tab w:val="num" w:pos="5760"/>
        </w:tabs>
        <w:ind w:left="5760" w:hanging="360"/>
      </w:pPr>
      <w:rPr>
        <w:rFonts w:ascii="Arial" w:hAnsi="Arial" w:hint="default"/>
      </w:rPr>
    </w:lvl>
    <w:lvl w:ilvl="8" w:tplc="D74C23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442185"/>
    <w:multiLevelType w:val="hybridMultilevel"/>
    <w:tmpl w:val="62CEF52A"/>
    <w:lvl w:ilvl="0" w:tplc="EB46619C">
      <w:start w:val="1"/>
      <w:numFmt w:val="bullet"/>
      <w:lvlText w:val="•"/>
      <w:lvlJc w:val="left"/>
      <w:pPr>
        <w:tabs>
          <w:tab w:val="num" w:pos="720"/>
        </w:tabs>
        <w:ind w:left="720" w:hanging="360"/>
      </w:pPr>
      <w:rPr>
        <w:rFonts w:ascii="Arial" w:hAnsi="Arial" w:hint="default"/>
      </w:rPr>
    </w:lvl>
    <w:lvl w:ilvl="1" w:tplc="128495A4">
      <w:start w:val="1"/>
      <w:numFmt w:val="bullet"/>
      <w:lvlText w:val="•"/>
      <w:lvlJc w:val="left"/>
      <w:pPr>
        <w:tabs>
          <w:tab w:val="num" w:pos="1440"/>
        </w:tabs>
        <w:ind w:left="1440" w:hanging="360"/>
      </w:pPr>
      <w:rPr>
        <w:rFonts w:ascii="Arial" w:hAnsi="Arial" w:hint="default"/>
      </w:rPr>
    </w:lvl>
    <w:lvl w:ilvl="2" w:tplc="2B081DD2" w:tentative="1">
      <w:start w:val="1"/>
      <w:numFmt w:val="bullet"/>
      <w:lvlText w:val="•"/>
      <w:lvlJc w:val="left"/>
      <w:pPr>
        <w:tabs>
          <w:tab w:val="num" w:pos="2160"/>
        </w:tabs>
        <w:ind w:left="2160" w:hanging="360"/>
      </w:pPr>
      <w:rPr>
        <w:rFonts w:ascii="Arial" w:hAnsi="Arial" w:hint="default"/>
      </w:rPr>
    </w:lvl>
    <w:lvl w:ilvl="3" w:tplc="7880265A" w:tentative="1">
      <w:start w:val="1"/>
      <w:numFmt w:val="bullet"/>
      <w:lvlText w:val="•"/>
      <w:lvlJc w:val="left"/>
      <w:pPr>
        <w:tabs>
          <w:tab w:val="num" w:pos="2880"/>
        </w:tabs>
        <w:ind w:left="2880" w:hanging="360"/>
      </w:pPr>
      <w:rPr>
        <w:rFonts w:ascii="Arial" w:hAnsi="Arial" w:hint="default"/>
      </w:rPr>
    </w:lvl>
    <w:lvl w:ilvl="4" w:tplc="B8B2F52C" w:tentative="1">
      <w:start w:val="1"/>
      <w:numFmt w:val="bullet"/>
      <w:lvlText w:val="•"/>
      <w:lvlJc w:val="left"/>
      <w:pPr>
        <w:tabs>
          <w:tab w:val="num" w:pos="3600"/>
        </w:tabs>
        <w:ind w:left="3600" w:hanging="360"/>
      </w:pPr>
      <w:rPr>
        <w:rFonts w:ascii="Arial" w:hAnsi="Arial" w:hint="default"/>
      </w:rPr>
    </w:lvl>
    <w:lvl w:ilvl="5" w:tplc="1FD44820" w:tentative="1">
      <w:start w:val="1"/>
      <w:numFmt w:val="bullet"/>
      <w:lvlText w:val="•"/>
      <w:lvlJc w:val="left"/>
      <w:pPr>
        <w:tabs>
          <w:tab w:val="num" w:pos="4320"/>
        </w:tabs>
        <w:ind w:left="4320" w:hanging="360"/>
      </w:pPr>
      <w:rPr>
        <w:rFonts w:ascii="Arial" w:hAnsi="Arial" w:hint="default"/>
      </w:rPr>
    </w:lvl>
    <w:lvl w:ilvl="6" w:tplc="87CE6C62" w:tentative="1">
      <w:start w:val="1"/>
      <w:numFmt w:val="bullet"/>
      <w:lvlText w:val="•"/>
      <w:lvlJc w:val="left"/>
      <w:pPr>
        <w:tabs>
          <w:tab w:val="num" w:pos="5040"/>
        </w:tabs>
        <w:ind w:left="5040" w:hanging="360"/>
      </w:pPr>
      <w:rPr>
        <w:rFonts w:ascii="Arial" w:hAnsi="Arial" w:hint="default"/>
      </w:rPr>
    </w:lvl>
    <w:lvl w:ilvl="7" w:tplc="4E64D4A2" w:tentative="1">
      <w:start w:val="1"/>
      <w:numFmt w:val="bullet"/>
      <w:lvlText w:val="•"/>
      <w:lvlJc w:val="left"/>
      <w:pPr>
        <w:tabs>
          <w:tab w:val="num" w:pos="5760"/>
        </w:tabs>
        <w:ind w:left="5760" w:hanging="360"/>
      </w:pPr>
      <w:rPr>
        <w:rFonts w:ascii="Arial" w:hAnsi="Arial" w:hint="default"/>
      </w:rPr>
    </w:lvl>
    <w:lvl w:ilvl="8" w:tplc="D3D40C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E85A6B"/>
    <w:multiLevelType w:val="hybridMultilevel"/>
    <w:tmpl w:val="5BE02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A87567"/>
    <w:multiLevelType w:val="hybridMultilevel"/>
    <w:tmpl w:val="687602FA"/>
    <w:lvl w:ilvl="0" w:tplc="86ECAE0A">
      <w:start w:val="1"/>
      <w:numFmt w:val="bullet"/>
      <w:lvlText w:val="•"/>
      <w:lvlJc w:val="left"/>
      <w:pPr>
        <w:tabs>
          <w:tab w:val="num" w:pos="720"/>
        </w:tabs>
        <w:ind w:left="720" w:hanging="360"/>
      </w:pPr>
      <w:rPr>
        <w:rFonts w:ascii="Arial" w:hAnsi="Arial" w:hint="default"/>
      </w:rPr>
    </w:lvl>
    <w:lvl w:ilvl="1" w:tplc="42308258" w:tentative="1">
      <w:start w:val="1"/>
      <w:numFmt w:val="bullet"/>
      <w:lvlText w:val="•"/>
      <w:lvlJc w:val="left"/>
      <w:pPr>
        <w:tabs>
          <w:tab w:val="num" w:pos="1440"/>
        </w:tabs>
        <w:ind w:left="1440" w:hanging="360"/>
      </w:pPr>
      <w:rPr>
        <w:rFonts w:ascii="Arial" w:hAnsi="Arial" w:hint="default"/>
      </w:rPr>
    </w:lvl>
    <w:lvl w:ilvl="2" w:tplc="00C87092" w:tentative="1">
      <w:start w:val="1"/>
      <w:numFmt w:val="bullet"/>
      <w:lvlText w:val="•"/>
      <w:lvlJc w:val="left"/>
      <w:pPr>
        <w:tabs>
          <w:tab w:val="num" w:pos="2160"/>
        </w:tabs>
        <w:ind w:left="2160" w:hanging="360"/>
      </w:pPr>
      <w:rPr>
        <w:rFonts w:ascii="Arial" w:hAnsi="Arial" w:hint="default"/>
      </w:rPr>
    </w:lvl>
    <w:lvl w:ilvl="3" w:tplc="16A4FAAE" w:tentative="1">
      <w:start w:val="1"/>
      <w:numFmt w:val="bullet"/>
      <w:lvlText w:val="•"/>
      <w:lvlJc w:val="left"/>
      <w:pPr>
        <w:tabs>
          <w:tab w:val="num" w:pos="2880"/>
        </w:tabs>
        <w:ind w:left="2880" w:hanging="360"/>
      </w:pPr>
      <w:rPr>
        <w:rFonts w:ascii="Arial" w:hAnsi="Arial" w:hint="default"/>
      </w:rPr>
    </w:lvl>
    <w:lvl w:ilvl="4" w:tplc="91B67800" w:tentative="1">
      <w:start w:val="1"/>
      <w:numFmt w:val="bullet"/>
      <w:lvlText w:val="•"/>
      <w:lvlJc w:val="left"/>
      <w:pPr>
        <w:tabs>
          <w:tab w:val="num" w:pos="3600"/>
        </w:tabs>
        <w:ind w:left="3600" w:hanging="360"/>
      </w:pPr>
      <w:rPr>
        <w:rFonts w:ascii="Arial" w:hAnsi="Arial" w:hint="default"/>
      </w:rPr>
    </w:lvl>
    <w:lvl w:ilvl="5" w:tplc="11C28166" w:tentative="1">
      <w:start w:val="1"/>
      <w:numFmt w:val="bullet"/>
      <w:lvlText w:val="•"/>
      <w:lvlJc w:val="left"/>
      <w:pPr>
        <w:tabs>
          <w:tab w:val="num" w:pos="4320"/>
        </w:tabs>
        <w:ind w:left="4320" w:hanging="360"/>
      </w:pPr>
      <w:rPr>
        <w:rFonts w:ascii="Arial" w:hAnsi="Arial" w:hint="default"/>
      </w:rPr>
    </w:lvl>
    <w:lvl w:ilvl="6" w:tplc="9D8CAA08" w:tentative="1">
      <w:start w:val="1"/>
      <w:numFmt w:val="bullet"/>
      <w:lvlText w:val="•"/>
      <w:lvlJc w:val="left"/>
      <w:pPr>
        <w:tabs>
          <w:tab w:val="num" w:pos="5040"/>
        </w:tabs>
        <w:ind w:left="5040" w:hanging="360"/>
      </w:pPr>
      <w:rPr>
        <w:rFonts w:ascii="Arial" w:hAnsi="Arial" w:hint="default"/>
      </w:rPr>
    </w:lvl>
    <w:lvl w:ilvl="7" w:tplc="6EF8B0CE" w:tentative="1">
      <w:start w:val="1"/>
      <w:numFmt w:val="bullet"/>
      <w:lvlText w:val="•"/>
      <w:lvlJc w:val="left"/>
      <w:pPr>
        <w:tabs>
          <w:tab w:val="num" w:pos="5760"/>
        </w:tabs>
        <w:ind w:left="5760" w:hanging="360"/>
      </w:pPr>
      <w:rPr>
        <w:rFonts w:ascii="Arial" w:hAnsi="Arial" w:hint="default"/>
      </w:rPr>
    </w:lvl>
    <w:lvl w:ilvl="8" w:tplc="6614702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4"/>
  </w:num>
  <w:num w:numId="4">
    <w:abstractNumId w:val="1"/>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9B"/>
    <w:rsid w:val="000113D0"/>
    <w:rsid w:val="00076054"/>
    <w:rsid w:val="000932F0"/>
    <w:rsid w:val="000B1AE6"/>
    <w:rsid w:val="000E0D6B"/>
    <w:rsid w:val="000F2D5F"/>
    <w:rsid w:val="001942E2"/>
    <w:rsid w:val="001B3A54"/>
    <w:rsid w:val="001E254C"/>
    <w:rsid w:val="001F1BD2"/>
    <w:rsid w:val="00231E54"/>
    <w:rsid w:val="002929E5"/>
    <w:rsid w:val="002A5694"/>
    <w:rsid w:val="002B7DD2"/>
    <w:rsid w:val="002C11E8"/>
    <w:rsid w:val="002C4CE8"/>
    <w:rsid w:val="002F7846"/>
    <w:rsid w:val="00357D0F"/>
    <w:rsid w:val="003B322E"/>
    <w:rsid w:val="003B6860"/>
    <w:rsid w:val="004278AB"/>
    <w:rsid w:val="00427AAC"/>
    <w:rsid w:val="00436E28"/>
    <w:rsid w:val="0046270C"/>
    <w:rsid w:val="00467312"/>
    <w:rsid w:val="00475790"/>
    <w:rsid w:val="004E150C"/>
    <w:rsid w:val="004E6300"/>
    <w:rsid w:val="005054EF"/>
    <w:rsid w:val="00520ABB"/>
    <w:rsid w:val="005564F8"/>
    <w:rsid w:val="00564250"/>
    <w:rsid w:val="005C7E19"/>
    <w:rsid w:val="005F608D"/>
    <w:rsid w:val="00602119"/>
    <w:rsid w:val="00636EDC"/>
    <w:rsid w:val="0068273A"/>
    <w:rsid w:val="006C469B"/>
    <w:rsid w:val="006E3F9D"/>
    <w:rsid w:val="007022EB"/>
    <w:rsid w:val="007F0D2B"/>
    <w:rsid w:val="00804D87"/>
    <w:rsid w:val="008F60F6"/>
    <w:rsid w:val="00903232"/>
    <w:rsid w:val="00905180"/>
    <w:rsid w:val="009116D1"/>
    <w:rsid w:val="00912325"/>
    <w:rsid w:val="00996738"/>
    <w:rsid w:val="009F5A66"/>
    <w:rsid w:val="00A849B4"/>
    <w:rsid w:val="00A97C3B"/>
    <w:rsid w:val="00AB37E3"/>
    <w:rsid w:val="00B51FAE"/>
    <w:rsid w:val="00B66228"/>
    <w:rsid w:val="00B667AE"/>
    <w:rsid w:val="00B83590"/>
    <w:rsid w:val="00BC1D68"/>
    <w:rsid w:val="00BC26CF"/>
    <w:rsid w:val="00BC75E6"/>
    <w:rsid w:val="00D648DE"/>
    <w:rsid w:val="00DA3E43"/>
    <w:rsid w:val="00DC45DD"/>
    <w:rsid w:val="00DE1A77"/>
    <w:rsid w:val="00DE5C9A"/>
    <w:rsid w:val="00E71768"/>
    <w:rsid w:val="00E921B5"/>
    <w:rsid w:val="00ED0095"/>
    <w:rsid w:val="00F003A5"/>
    <w:rsid w:val="00F31850"/>
    <w:rsid w:val="00F43F98"/>
    <w:rsid w:val="00F564E0"/>
    <w:rsid w:val="00F772D7"/>
    <w:rsid w:val="00FA2E54"/>
    <w:rsid w:val="00FF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22F7E"/>
  <w15:chartTrackingRefBased/>
  <w15:docId w15:val="{F28546E3-E68B-C943-94F8-32E4806D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69B"/>
    <w:pPr>
      <w:tabs>
        <w:tab w:val="center" w:pos="4680"/>
        <w:tab w:val="right" w:pos="9360"/>
      </w:tabs>
    </w:pPr>
  </w:style>
  <w:style w:type="character" w:customStyle="1" w:styleId="HeaderChar">
    <w:name w:val="Header Char"/>
    <w:basedOn w:val="DefaultParagraphFont"/>
    <w:link w:val="Header"/>
    <w:uiPriority w:val="99"/>
    <w:rsid w:val="006C469B"/>
  </w:style>
  <w:style w:type="character" w:styleId="PageNumber">
    <w:name w:val="page number"/>
    <w:basedOn w:val="DefaultParagraphFont"/>
    <w:uiPriority w:val="99"/>
    <w:semiHidden/>
    <w:unhideWhenUsed/>
    <w:rsid w:val="006C469B"/>
  </w:style>
  <w:style w:type="paragraph" w:styleId="Footer">
    <w:name w:val="footer"/>
    <w:basedOn w:val="Normal"/>
    <w:link w:val="FooterChar"/>
    <w:uiPriority w:val="99"/>
    <w:unhideWhenUsed/>
    <w:rsid w:val="006C469B"/>
    <w:pPr>
      <w:tabs>
        <w:tab w:val="center" w:pos="4680"/>
        <w:tab w:val="right" w:pos="9360"/>
      </w:tabs>
    </w:pPr>
  </w:style>
  <w:style w:type="character" w:customStyle="1" w:styleId="FooterChar">
    <w:name w:val="Footer Char"/>
    <w:basedOn w:val="DefaultParagraphFont"/>
    <w:link w:val="Footer"/>
    <w:uiPriority w:val="99"/>
    <w:rsid w:val="006C469B"/>
  </w:style>
  <w:style w:type="paragraph" w:styleId="ListParagraph">
    <w:name w:val="List Paragraph"/>
    <w:basedOn w:val="Normal"/>
    <w:uiPriority w:val="34"/>
    <w:qFormat/>
    <w:rsid w:val="006C469B"/>
    <w:pPr>
      <w:ind w:left="720"/>
      <w:contextualSpacing/>
    </w:pPr>
  </w:style>
  <w:style w:type="paragraph" w:styleId="FootnoteText">
    <w:name w:val="footnote text"/>
    <w:basedOn w:val="Normal"/>
    <w:link w:val="FootnoteTextChar"/>
    <w:uiPriority w:val="99"/>
    <w:semiHidden/>
    <w:unhideWhenUsed/>
    <w:rsid w:val="00AB37E3"/>
    <w:rPr>
      <w:sz w:val="20"/>
      <w:szCs w:val="20"/>
    </w:rPr>
  </w:style>
  <w:style w:type="character" w:customStyle="1" w:styleId="FootnoteTextChar">
    <w:name w:val="Footnote Text Char"/>
    <w:basedOn w:val="DefaultParagraphFont"/>
    <w:link w:val="FootnoteText"/>
    <w:uiPriority w:val="99"/>
    <w:semiHidden/>
    <w:rsid w:val="00AB37E3"/>
    <w:rPr>
      <w:sz w:val="20"/>
      <w:szCs w:val="20"/>
    </w:rPr>
  </w:style>
  <w:style w:type="character" w:styleId="FootnoteReference">
    <w:name w:val="footnote reference"/>
    <w:basedOn w:val="DefaultParagraphFont"/>
    <w:uiPriority w:val="99"/>
    <w:semiHidden/>
    <w:unhideWhenUsed/>
    <w:rsid w:val="00AB37E3"/>
    <w:rPr>
      <w:vertAlign w:val="superscript"/>
    </w:rPr>
  </w:style>
  <w:style w:type="character" w:styleId="Hyperlink">
    <w:name w:val="Hyperlink"/>
    <w:basedOn w:val="DefaultParagraphFont"/>
    <w:uiPriority w:val="99"/>
    <w:unhideWhenUsed/>
    <w:rsid w:val="00602119"/>
    <w:rPr>
      <w:color w:val="0563C1" w:themeColor="hyperlink"/>
      <w:u w:val="single"/>
    </w:rPr>
  </w:style>
  <w:style w:type="character" w:styleId="UnresolvedMention">
    <w:name w:val="Unresolved Mention"/>
    <w:basedOn w:val="DefaultParagraphFont"/>
    <w:uiPriority w:val="99"/>
    <w:semiHidden/>
    <w:unhideWhenUsed/>
    <w:rsid w:val="00602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711">
      <w:bodyDiv w:val="1"/>
      <w:marLeft w:val="0"/>
      <w:marRight w:val="0"/>
      <w:marTop w:val="0"/>
      <w:marBottom w:val="0"/>
      <w:divBdr>
        <w:top w:val="none" w:sz="0" w:space="0" w:color="auto"/>
        <w:left w:val="none" w:sz="0" w:space="0" w:color="auto"/>
        <w:bottom w:val="none" w:sz="0" w:space="0" w:color="auto"/>
        <w:right w:val="none" w:sz="0" w:space="0" w:color="auto"/>
      </w:divBdr>
      <w:divsChild>
        <w:div w:id="1591425690">
          <w:marLeft w:val="446"/>
          <w:marRight w:val="0"/>
          <w:marTop w:val="0"/>
          <w:marBottom w:val="0"/>
          <w:divBdr>
            <w:top w:val="none" w:sz="0" w:space="0" w:color="auto"/>
            <w:left w:val="none" w:sz="0" w:space="0" w:color="auto"/>
            <w:bottom w:val="none" w:sz="0" w:space="0" w:color="auto"/>
            <w:right w:val="none" w:sz="0" w:space="0" w:color="auto"/>
          </w:divBdr>
        </w:div>
        <w:div w:id="436602947">
          <w:marLeft w:val="446"/>
          <w:marRight w:val="0"/>
          <w:marTop w:val="0"/>
          <w:marBottom w:val="0"/>
          <w:divBdr>
            <w:top w:val="none" w:sz="0" w:space="0" w:color="auto"/>
            <w:left w:val="none" w:sz="0" w:space="0" w:color="auto"/>
            <w:bottom w:val="none" w:sz="0" w:space="0" w:color="auto"/>
            <w:right w:val="none" w:sz="0" w:space="0" w:color="auto"/>
          </w:divBdr>
        </w:div>
        <w:div w:id="664821104">
          <w:marLeft w:val="446"/>
          <w:marRight w:val="0"/>
          <w:marTop w:val="0"/>
          <w:marBottom w:val="0"/>
          <w:divBdr>
            <w:top w:val="none" w:sz="0" w:space="0" w:color="auto"/>
            <w:left w:val="none" w:sz="0" w:space="0" w:color="auto"/>
            <w:bottom w:val="none" w:sz="0" w:space="0" w:color="auto"/>
            <w:right w:val="none" w:sz="0" w:space="0" w:color="auto"/>
          </w:divBdr>
        </w:div>
        <w:div w:id="874775765">
          <w:marLeft w:val="446"/>
          <w:marRight w:val="0"/>
          <w:marTop w:val="0"/>
          <w:marBottom w:val="0"/>
          <w:divBdr>
            <w:top w:val="none" w:sz="0" w:space="0" w:color="auto"/>
            <w:left w:val="none" w:sz="0" w:space="0" w:color="auto"/>
            <w:bottom w:val="none" w:sz="0" w:space="0" w:color="auto"/>
            <w:right w:val="none" w:sz="0" w:space="0" w:color="auto"/>
          </w:divBdr>
        </w:div>
        <w:div w:id="1034620226">
          <w:marLeft w:val="446"/>
          <w:marRight w:val="0"/>
          <w:marTop w:val="0"/>
          <w:marBottom w:val="0"/>
          <w:divBdr>
            <w:top w:val="none" w:sz="0" w:space="0" w:color="auto"/>
            <w:left w:val="none" w:sz="0" w:space="0" w:color="auto"/>
            <w:bottom w:val="none" w:sz="0" w:space="0" w:color="auto"/>
            <w:right w:val="none" w:sz="0" w:space="0" w:color="auto"/>
          </w:divBdr>
        </w:div>
        <w:div w:id="1387798534">
          <w:marLeft w:val="446"/>
          <w:marRight w:val="0"/>
          <w:marTop w:val="0"/>
          <w:marBottom w:val="0"/>
          <w:divBdr>
            <w:top w:val="none" w:sz="0" w:space="0" w:color="auto"/>
            <w:left w:val="none" w:sz="0" w:space="0" w:color="auto"/>
            <w:bottom w:val="none" w:sz="0" w:space="0" w:color="auto"/>
            <w:right w:val="none" w:sz="0" w:space="0" w:color="auto"/>
          </w:divBdr>
        </w:div>
      </w:divsChild>
    </w:div>
    <w:div w:id="655257942">
      <w:bodyDiv w:val="1"/>
      <w:marLeft w:val="0"/>
      <w:marRight w:val="0"/>
      <w:marTop w:val="0"/>
      <w:marBottom w:val="0"/>
      <w:divBdr>
        <w:top w:val="none" w:sz="0" w:space="0" w:color="auto"/>
        <w:left w:val="none" w:sz="0" w:space="0" w:color="auto"/>
        <w:bottom w:val="none" w:sz="0" w:space="0" w:color="auto"/>
        <w:right w:val="none" w:sz="0" w:space="0" w:color="auto"/>
      </w:divBdr>
      <w:divsChild>
        <w:div w:id="1199969646">
          <w:marLeft w:val="1166"/>
          <w:marRight w:val="0"/>
          <w:marTop w:val="0"/>
          <w:marBottom w:val="0"/>
          <w:divBdr>
            <w:top w:val="none" w:sz="0" w:space="0" w:color="auto"/>
            <w:left w:val="none" w:sz="0" w:space="0" w:color="auto"/>
            <w:bottom w:val="none" w:sz="0" w:space="0" w:color="auto"/>
            <w:right w:val="none" w:sz="0" w:space="0" w:color="auto"/>
          </w:divBdr>
        </w:div>
        <w:div w:id="299654858">
          <w:marLeft w:val="1166"/>
          <w:marRight w:val="0"/>
          <w:marTop w:val="0"/>
          <w:marBottom w:val="0"/>
          <w:divBdr>
            <w:top w:val="none" w:sz="0" w:space="0" w:color="auto"/>
            <w:left w:val="none" w:sz="0" w:space="0" w:color="auto"/>
            <w:bottom w:val="none" w:sz="0" w:space="0" w:color="auto"/>
            <w:right w:val="none" w:sz="0" w:space="0" w:color="auto"/>
          </w:divBdr>
        </w:div>
        <w:div w:id="55974361">
          <w:marLeft w:val="1166"/>
          <w:marRight w:val="0"/>
          <w:marTop w:val="0"/>
          <w:marBottom w:val="0"/>
          <w:divBdr>
            <w:top w:val="none" w:sz="0" w:space="0" w:color="auto"/>
            <w:left w:val="none" w:sz="0" w:space="0" w:color="auto"/>
            <w:bottom w:val="none" w:sz="0" w:space="0" w:color="auto"/>
            <w:right w:val="none" w:sz="0" w:space="0" w:color="auto"/>
          </w:divBdr>
        </w:div>
      </w:divsChild>
    </w:div>
    <w:div w:id="1216742123">
      <w:bodyDiv w:val="1"/>
      <w:marLeft w:val="0"/>
      <w:marRight w:val="0"/>
      <w:marTop w:val="0"/>
      <w:marBottom w:val="0"/>
      <w:divBdr>
        <w:top w:val="none" w:sz="0" w:space="0" w:color="auto"/>
        <w:left w:val="none" w:sz="0" w:space="0" w:color="auto"/>
        <w:bottom w:val="none" w:sz="0" w:space="0" w:color="auto"/>
        <w:right w:val="none" w:sz="0" w:space="0" w:color="auto"/>
      </w:divBdr>
      <w:divsChild>
        <w:div w:id="1168129294">
          <w:marLeft w:val="720"/>
          <w:marRight w:val="0"/>
          <w:marTop w:val="240"/>
          <w:marBottom w:val="40"/>
          <w:divBdr>
            <w:top w:val="none" w:sz="0" w:space="0" w:color="auto"/>
            <w:left w:val="none" w:sz="0" w:space="0" w:color="auto"/>
            <w:bottom w:val="none" w:sz="0" w:space="0" w:color="auto"/>
            <w:right w:val="none" w:sz="0" w:space="0" w:color="auto"/>
          </w:divBdr>
        </w:div>
        <w:div w:id="1913195498">
          <w:marLeft w:val="720"/>
          <w:marRight w:val="0"/>
          <w:marTop w:val="240"/>
          <w:marBottom w:val="40"/>
          <w:divBdr>
            <w:top w:val="none" w:sz="0" w:space="0" w:color="auto"/>
            <w:left w:val="none" w:sz="0" w:space="0" w:color="auto"/>
            <w:bottom w:val="none" w:sz="0" w:space="0" w:color="auto"/>
            <w:right w:val="none" w:sz="0" w:space="0" w:color="auto"/>
          </w:divBdr>
        </w:div>
        <w:div w:id="1615288725">
          <w:marLeft w:val="720"/>
          <w:marRight w:val="0"/>
          <w:marTop w:val="240"/>
          <w:marBottom w:val="40"/>
          <w:divBdr>
            <w:top w:val="none" w:sz="0" w:space="0" w:color="auto"/>
            <w:left w:val="none" w:sz="0" w:space="0" w:color="auto"/>
            <w:bottom w:val="none" w:sz="0" w:space="0" w:color="auto"/>
            <w:right w:val="none" w:sz="0" w:space="0" w:color="auto"/>
          </w:divBdr>
        </w:div>
      </w:divsChild>
    </w:div>
    <w:div w:id="1242832870">
      <w:bodyDiv w:val="1"/>
      <w:marLeft w:val="0"/>
      <w:marRight w:val="0"/>
      <w:marTop w:val="0"/>
      <w:marBottom w:val="0"/>
      <w:divBdr>
        <w:top w:val="none" w:sz="0" w:space="0" w:color="auto"/>
        <w:left w:val="none" w:sz="0" w:space="0" w:color="auto"/>
        <w:bottom w:val="none" w:sz="0" w:space="0" w:color="auto"/>
        <w:right w:val="none" w:sz="0" w:space="0" w:color="auto"/>
      </w:divBdr>
      <w:divsChild>
        <w:div w:id="2004237094">
          <w:marLeft w:val="1166"/>
          <w:marRight w:val="0"/>
          <w:marTop w:val="0"/>
          <w:marBottom w:val="0"/>
          <w:divBdr>
            <w:top w:val="none" w:sz="0" w:space="0" w:color="auto"/>
            <w:left w:val="none" w:sz="0" w:space="0" w:color="auto"/>
            <w:bottom w:val="none" w:sz="0" w:space="0" w:color="auto"/>
            <w:right w:val="none" w:sz="0" w:space="0" w:color="auto"/>
          </w:divBdr>
        </w:div>
        <w:div w:id="737633870">
          <w:marLeft w:val="1166"/>
          <w:marRight w:val="0"/>
          <w:marTop w:val="0"/>
          <w:marBottom w:val="0"/>
          <w:divBdr>
            <w:top w:val="none" w:sz="0" w:space="0" w:color="auto"/>
            <w:left w:val="none" w:sz="0" w:space="0" w:color="auto"/>
            <w:bottom w:val="none" w:sz="0" w:space="0" w:color="auto"/>
            <w:right w:val="none" w:sz="0" w:space="0" w:color="auto"/>
          </w:divBdr>
        </w:div>
        <w:div w:id="131532425">
          <w:marLeft w:val="1166"/>
          <w:marRight w:val="0"/>
          <w:marTop w:val="0"/>
          <w:marBottom w:val="0"/>
          <w:divBdr>
            <w:top w:val="none" w:sz="0" w:space="0" w:color="auto"/>
            <w:left w:val="none" w:sz="0" w:space="0" w:color="auto"/>
            <w:bottom w:val="none" w:sz="0" w:space="0" w:color="auto"/>
            <w:right w:val="none" w:sz="0" w:space="0" w:color="auto"/>
          </w:divBdr>
        </w:div>
      </w:divsChild>
    </w:div>
    <w:div w:id="1660228471">
      <w:bodyDiv w:val="1"/>
      <w:marLeft w:val="0"/>
      <w:marRight w:val="0"/>
      <w:marTop w:val="0"/>
      <w:marBottom w:val="0"/>
      <w:divBdr>
        <w:top w:val="none" w:sz="0" w:space="0" w:color="auto"/>
        <w:left w:val="none" w:sz="0" w:space="0" w:color="auto"/>
        <w:bottom w:val="none" w:sz="0" w:space="0" w:color="auto"/>
        <w:right w:val="none" w:sz="0" w:space="0" w:color="auto"/>
      </w:divBdr>
      <w:divsChild>
        <w:div w:id="1165785926">
          <w:marLeft w:val="446"/>
          <w:marRight w:val="0"/>
          <w:marTop w:val="0"/>
          <w:marBottom w:val="0"/>
          <w:divBdr>
            <w:top w:val="none" w:sz="0" w:space="0" w:color="auto"/>
            <w:left w:val="none" w:sz="0" w:space="0" w:color="auto"/>
            <w:bottom w:val="none" w:sz="0" w:space="0" w:color="auto"/>
            <w:right w:val="none" w:sz="0" w:space="0" w:color="auto"/>
          </w:divBdr>
        </w:div>
        <w:div w:id="1684353620">
          <w:marLeft w:val="446"/>
          <w:marRight w:val="0"/>
          <w:marTop w:val="0"/>
          <w:marBottom w:val="0"/>
          <w:divBdr>
            <w:top w:val="none" w:sz="0" w:space="0" w:color="auto"/>
            <w:left w:val="none" w:sz="0" w:space="0" w:color="auto"/>
            <w:bottom w:val="none" w:sz="0" w:space="0" w:color="auto"/>
            <w:right w:val="none" w:sz="0" w:space="0" w:color="auto"/>
          </w:divBdr>
        </w:div>
      </w:divsChild>
    </w:div>
    <w:div w:id="1904944895">
      <w:bodyDiv w:val="1"/>
      <w:marLeft w:val="0"/>
      <w:marRight w:val="0"/>
      <w:marTop w:val="0"/>
      <w:marBottom w:val="0"/>
      <w:divBdr>
        <w:top w:val="none" w:sz="0" w:space="0" w:color="auto"/>
        <w:left w:val="none" w:sz="0" w:space="0" w:color="auto"/>
        <w:bottom w:val="none" w:sz="0" w:space="0" w:color="auto"/>
        <w:right w:val="none" w:sz="0" w:space="0" w:color="auto"/>
      </w:divBdr>
      <w:divsChild>
        <w:div w:id="1115320664">
          <w:marLeft w:val="720"/>
          <w:marRight w:val="0"/>
          <w:marTop w:val="0"/>
          <w:marBottom w:val="0"/>
          <w:divBdr>
            <w:top w:val="none" w:sz="0" w:space="0" w:color="auto"/>
            <w:left w:val="none" w:sz="0" w:space="0" w:color="auto"/>
            <w:bottom w:val="none" w:sz="0" w:space="0" w:color="auto"/>
            <w:right w:val="none" w:sz="0" w:space="0" w:color="auto"/>
          </w:divBdr>
        </w:div>
        <w:div w:id="419567129">
          <w:marLeft w:val="720"/>
          <w:marRight w:val="0"/>
          <w:marTop w:val="0"/>
          <w:marBottom w:val="0"/>
          <w:divBdr>
            <w:top w:val="none" w:sz="0" w:space="0" w:color="auto"/>
            <w:left w:val="none" w:sz="0" w:space="0" w:color="auto"/>
            <w:bottom w:val="none" w:sz="0" w:space="0" w:color="auto"/>
            <w:right w:val="none" w:sz="0" w:space="0" w:color="auto"/>
          </w:divBdr>
        </w:div>
        <w:div w:id="1133793720">
          <w:marLeft w:val="720"/>
          <w:marRight w:val="0"/>
          <w:marTop w:val="0"/>
          <w:marBottom w:val="0"/>
          <w:divBdr>
            <w:top w:val="none" w:sz="0" w:space="0" w:color="auto"/>
            <w:left w:val="none" w:sz="0" w:space="0" w:color="auto"/>
            <w:bottom w:val="none" w:sz="0" w:space="0" w:color="auto"/>
            <w:right w:val="none" w:sz="0" w:space="0" w:color="auto"/>
          </w:divBdr>
        </w:div>
        <w:div w:id="2023823054">
          <w:marLeft w:val="864"/>
          <w:marRight w:val="0"/>
          <w:marTop w:val="0"/>
          <w:marBottom w:val="0"/>
          <w:divBdr>
            <w:top w:val="none" w:sz="0" w:space="0" w:color="auto"/>
            <w:left w:val="none" w:sz="0" w:space="0" w:color="auto"/>
            <w:bottom w:val="none" w:sz="0" w:space="0" w:color="auto"/>
            <w:right w:val="none" w:sz="0" w:space="0" w:color="auto"/>
          </w:divBdr>
        </w:div>
        <w:div w:id="128715629">
          <w:marLeft w:val="8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schilder@mssm.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C2006-EDF3-854F-AE65-EC6C041B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11635</Words>
  <Characters>66320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Mount Sinai</Company>
  <LinksUpToDate>false</LinksUpToDate>
  <CharactersWithSpaces>77800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68</cp:revision>
  <dcterms:created xsi:type="dcterms:W3CDTF">2019-09-05T18:21:00Z</dcterms:created>
  <dcterms:modified xsi:type="dcterms:W3CDTF">2019-09-05T21:11:00Z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461d3481-51f4-382d-ad5b-310d05727261</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http://csl.mendeley.com/styles/458823771/apa-noDOI</vt:lpwstr>
  </property>
  <property fmtid="{D5CDD505-2E9C-101B-9397-08002B2CF9AE}" pid="10" name="Mendeley Recent Style Name 2_1">
    <vt:lpwstr>American Psychological Association 6th edition - Brian Schilder</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