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8CEA89" w14:textId="7C8AA0D2" w:rsidR="00C84806" w:rsidRDefault="005855E2">
      <w:r>
        <w:t>Details of business enterprises in priority sector are as follows:</w:t>
      </w:r>
    </w:p>
    <w:p w14:paraId="6977881F" w14:textId="77777777" w:rsidR="005855E2" w:rsidRPr="005855E2" w:rsidRDefault="005855E2" w:rsidP="005855E2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</w:rPr>
      </w:pPr>
      <w:r w:rsidRPr="005855E2">
        <w:rPr>
          <w:rFonts w:ascii="Georgia" w:eastAsia="Times New Roman" w:hAnsi="Georgia" w:cs="Times New Roman"/>
          <w:color w:val="000000"/>
          <w:sz w:val="36"/>
          <w:szCs w:val="36"/>
        </w:rPr>
        <w:t>Categories of Priority Sector</w:t>
      </w:r>
    </w:p>
    <w:p w14:paraId="6D488B74" w14:textId="07E977FF" w:rsidR="005855E2" w:rsidRDefault="005855E2"/>
    <w:p w14:paraId="22AD2C62" w14:textId="3301403A" w:rsidR="005855E2" w:rsidRDefault="005855E2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4" w:tooltip="Agriculture" w:history="1">
        <w:r>
          <w:rPr>
            <w:rStyle w:val="Hyperlink"/>
            <w:rFonts w:ascii="Arial" w:hAnsi="Arial" w:cs="Arial"/>
            <w:b/>
            <w:bCs/>
            <w:color w:val="0B0080"/>
            <w:sz w:val="21"/>
            <w:szCs w:val="21"/>
            <w:shd w:val="clear" w:color="auto" w:fill="FFFFFF"/>
          </w:rPr>
          <w:t>Agriculture</w:t>
        </w:r>
      </w:hyperlink>
    </w:p>
    <w:p w14:paraId="5209C763" w14:textId="00A1325B" w:rsidR="005855E2" w:rsidRDefault="005855E2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Small Scale Industries</w:t>
      </w:r>
    </w:p>
    <w:p w14:paraId="4315864E" w14:textId="6CFD28A6" w:rsidR="005855E2" w:rsidRDefault="005855E2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Small Business / Service Enterprises</w:t>
      </w:r>
    </w:p>
    <w:p w14:paraId="55CBE7C3" w14:textId="77777777" w:rsidR="00907DC0" w:rsidRDefault="00907DC0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Micro </w:t>
      </w:r>
      <w:proofErr w:type="gram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Credit :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Provision of credit and other financial services and products of very small amounts not exceeding Rs. 50,000 per borrower to the poor in rural, semi-urban and urban areas, either directly or through a group mechanism, for enabling them to improve their living standards, will constitute micro credit.</w:t>
      </w:r>
    </w:p>
    <w:p w14:paraId="470D4969" w14:textId="4D411B94" w:rsidR="005855E2" w:rsidRDefault="00907DC0">
      <w:r w:rsidRPr="00907DC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Education loans: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4CC87F06" w14:textId="77777777" w:rsidR="005855E2" w:rsidRDefault="005855E2"/>
    <w:sectPr w:rsidR="00585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806"/>
    <w:rsid w:val="005855E2"/>
    <w:rsid w:val="00907DC0"/>
    <w:rsid w:val="00C8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D8C7"/>
  <w15:chartTrackingRefBased/>
  <w15:docId w15:val="{C5D5537D-1499-4C5D-AD1F-4EE33427F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55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55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5855E2"/>
  </w:style>
  <w:style w:type="character" w:styleId="Hyperlink">
    <w:name w:val="Hyperlink"/>
    <w:basedOn w:val="DefaultParagraphFont"/>
    <w:uiPriority w:val="99"/>
    <w:semiHidden/>
    <w:unhideWhenUsed/>
    <w:rsid w:val="005855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Vishwakarma</dc:creator>
  <cp:keywords/>
  <dc:description/>
  <cp:lastModifiedBy>Raj Vishwakarma</cp:lastModifiedBy>
  <cp:revision>1</cp:revision>
  <dcterms:created xsi:type="dcterms:W3CDTF">2020-06-29T08:25:00Z</dcterms:created>
  <dcterms:modified xsi:type="dcterms:W3CDTF">2020-06-29T10:39:00Z</dcterms:modified>
</cp:coreProperties>
</file>