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rPr>
          <w:rFonts w:ascii="Arial" w:cs="Arial" w:eastAsia="Arial" w:hAnsi="Arial"/>
          <w:b/>
          <w:bCs/>
          <w:color w:val="0072CE"/>
          <w:sz w:val="20"/>
          <w:szCs w:val="20"/>
        </w:rPr>
        <w:t xml:space="preserve">ENTERPRISE AI ARCHITECTURE</w:t>
      </w:r>
    </w:p>
    <w:p>
      <w:pPr>
        <w:spacing w:before="0" w:after="200"/>
      </w:pPr>
      <w:r>
        <w:rPr>
          <w:rFonts w:ascii="Arial" w:cs="Arial" w:eastAsia="Arial" w:hAnsi="Arial"/>
          <w:b/>
          <w:bCs/>
          <w:color w:val="0A2540"/>
          <w:sz w:val="48"/>
          <w:szCs w:val="48"/>
        </w:rPr>
        <w:t xml:space="preserve">How We Migrated 5,000 Jenkins Jobs to Azure DevOps Using a Multi-Agent AI System</w:t>
      </w:r>
    </w:p>
    <w:p>
      <w:pPr>
        <w:spacing w:before="0" w:after="80"/>
      </w:pPr>
      <w:r>
        <w:rPr>
          <w:rFonts w:ascii="Arial" w:cs="Arial" w:eastAsia="Arial" w:hAnsi="Arial"/>
          <w:i/>
          <w:iCs/>
          <w:color w:val="6B7C93"/>
          <w:sz w:val="22"/>
          <w:szCs w:val="22"/>
        </w:rPr>
        <w:t xml:space="preserve">A deep-dive into agent types, inter-agent communication, decoupled architecture, and why this approach is the only viable design at Fortune 100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14 Agents</w:t>
            </w:r>
          </w:p>
        </w:tc>
        <w:tc>
          <w:tcPr>
            <w:tcW w:type="dxa" w:w="234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3 LLM · 2 Hybrid · 9 Deterministic</w:t>
            </w:r>
          </w:p>
        </w:tc>
        <w:tc>
          <w:tcPr>
            <w:tcW w:type="dxa" w:w="234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5,000 Jobs</w:t>
            </w:r>
          </w:p>
        </w:tc>
        <w:tc>
          <w:tcPr>
            <w:tcW w:type="dxa" w:w="234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68–75% Fully Automated</w:t>
            </w:r>
          </w:p>
        </w:tc>
      </w:tr>
    </w:tbl>
    <w:p>
      <w:pPr>
        <w:spacing w:before="0" w:after="100"/>
      </w:pPr>
      <w:r>
        <w:rPr>
          <w:rFonts w:ascii="Arial" w:cs="Arial" w:eastAsia="Arial" w:hAnsi="Arial"/>
          <w:color w:val="1A2332"/>
          <w:sz w:val="24"/>
          <w:szCs w:val="24"/>
        </w:rPr>
        <w:t xml:space="preserve"/>
      </w:r>
    </w:p>
    <w:p>
      <w:pPr>
        <w:pStyle w:val="Heading1"/>
        <w:spacing w:before="400" w:after="200"/>
      </w:pPr>
      <w:r>
        <w:rPr>
          <w:rFonts w:ascii="Arial" w:cs="Arial" w:eastAsia="Arial" w:hAnsi="Arial"/>
          <w:b/>
          <w:bCs/>
          <w:color w:val="0A2540"/>
          <w:sz w:val="36"/>
          <w:szCs w:val="36"/>
        </w:rPr>
        <w:t xml:space="preserve">1. The Problem: Why Migrating 5,000 Jenkins Jobs Is Hard</w:t>
      </w:r>
    </w:p>
    <w:p>
      <w:pPr>
        <w:spacing w:before="100" w:after="140"/>
        <w:jc w:val="both"/>
      </w:pPr>
      <w:r>
        <w:rPr>
          <w:rFonts w:ascii="Arial" w:cs="Arial" w:eastAsia="Arial" w:hAnsi="Arial"/>
          <w:color w:val="1A2332"/>
          <w:sz w:val="24"/>
          <w:szCs w:val="24"/>
        </w:rPr>
        <w:t xml:space="preserve">Migrating CI/CD pipelines at enterprise scale is not a search-and-replace exercise. Jenkins and Azure DevOps have fundamentally different mental models for how a pipeline is defined, how credentials are managed, how shared code is reused, and how deployments are triggered.</w:t>
      </w:r>
    </w:p>
    <w:p>
      <w:pPr>
        <w:spacing w:before="100" w:after="140"/>
        <w:jc w:val="both"/>
      </w:pPr>
      <w:r>
        <w:rPr>
          <w:rFonts w:ascii="Arial" w:cs="Arial" w:eastAsia="Arial" w:hAnsi="Arial"/>
          <w:color w:val="1A2332"/>
          <w:sz w:val="24"/>
          <w:szCs w:val="24"/>
        </w:rPr>
        <w:t xml:space="preserve">When a Fortune 100 organisation decides to migrate from Jenkins to Azure DevOps, they are not moving 5,000 configuration files. They are migrating years of institutional knowledge encoded in Groovy DSLs, shared libraries, plugin dependencies, credential bindings, and inter-job trigger chains — none of which has a direct one-to-one equivalent in the target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2CE" w:sz="4"/>
              <w:left w:val="thick" w:color="0072CE" w:sz="12"/>
              <w:bottom w:val="single" w:color="0072CE" w:sz="4"/>
              <w:right w:val="single" w:color="0072CE" w:sz="4"/>
            </w:tcBorders>
            <w:shd w:fill="E8F4FD" w:val="clear"/>
            <w:tcMar>
              <w:top w:type="dxa" w:w="120"/>
              <w:left w:type="dxa" w:w="180"/>
              <w:bottom w:type="dxa" w:w="120"/>
              <w:right w:type="dxa" w:w="180"/>
            </w:tcMar>
          </w:tcPr>
          <w:p>
            <w:r>
              <w:rPr>
                <w:rFonts w:ascii="Arial" w:cs="Arial" w:eastAsia="Arial" w:hAnsi="Arial"/>
                <w:b/>
                <w:bCs/>
                <w:color w:val="0072CE"/>
                <w:sz w:val="22"/>
                <w:szCs w:val="22"/>
              </w:rPr>
              <w:t xml:space="preserve">The Core Challenge:  </w:t>
            </w:r>
            <w:r>
              <w:rPr>
                <w:rFonts w:ascii="Arial" w:cs="Arial" w:eastAsia="Arial" w:hAnsi="Arial"/>
                <w:color w:val="1A2332"/>
                <w:sz w:val="22"/>
                <w:szCs w:val="22"/>
              </w:rPr>
              <w:t xml:space="preserve">A Jenkins Jenkinsfile can be 400 lines of arbitrary Groovy code. An Azure DevOps pipeline is declarative YAML. Translating between them requires understanding what the pipeline is trying to achieve, not just what it says. That is a semantic reasoning problem, not a parsing problem.</w:t>
            </w:r>
          </w:p>
        </w:tc>
      </w:tr>
    </w:tbl>
    <w:p>
      <w:pPr>
        <w:spacing w:before="0" w:after="100"/>
      </w:pPr>
      <w:r>
        <w:rPr>
          <w:rFonts w:ascii="Arial" w:cs="Arial" w:eastAsia="Arial" w:hAnsi="Arial"/>
          <w:color w:val="1A2332"/>
          <w:sz w:val="24"/>
          <w:szCs w:val="24"/>
        </w:rPr>
        <w:t xml:space="preserve"/>
      </w:r>
    </w:p>
    <w:p>
      <w:pPr>
        <w:spacing w:before="100" w:after="140"/>
        <w:jc w:val="both"/>
      </w:pPr>
      <w:r>
        <w:rPr>
          <w:rFonts w:ascii="Arial" w:cs="Arial" w:eastAsia="Arial" w:hAnsi="Arial"/>
          <w:color w:val="1A2332"/>
          <w:sz w:val="24"/>
          <w:szCs w:val="24"/>
        </w:rPr>
        <w:t xml:space="preserve">Add to this: shared libraries used by hundreds of jobs, plugins with no AzDO equivalent, jobs that change mid-migration, rate limits on Jenkins and GitHub APIs, credential secrets that must never be exposed, and a governance requirement that no production system is modified without human sign-off. You cannot solve this with a script. You need a system that can reason, adapt, and operate safely at scale.</w:t>
      </w:r>
    </w:p>
    <w:p>
      <w:pPr>
        <w:spacing w:before="100" w:after="140"/>
        <w:jc w:val="both"/>
      </w:pPr>
      <w:r>
        <w:rPr>
          <w:rFonts w:ascii="Arial" w:cs="Arial" w:eastAsia="Arial" w:hAnsi="Arial"/>
          <w:color w:val="1A2332"/>
          <w:sz w:val="24"/>
          <w:szCs w:val="24"/>
        </w:rPr>
        <w:t xml:space="preserve">That system is a multi-agent AI platform built on the Model Context Protocol (MCP), with 14 specialised agents operating across three strictly separated layers.</w:t>
      </w:r>
    </w:p>
    <w:p>
      <w:pPr>
        <w:spacing w:before="0" w:after="0"/>
      </w:pPr>
      <w:r>
        <w:br w:type="page"/>
      </w:r>
    </w:p>
    <w:p>
      <w:pPr>
        <w:pStyle w:val="Heading1"/>
        <w:spacing w:before="400" w:after="200"/>
      </w:pPr>
      <w:r>
        <w:rPr>
          <w:rFonts w:ascii="Arial" w:cs="Arial" w:eastAsia="Arial" w:hAnsi="Arial"/>
          <w:b/>
          <w:bCs/>
          <w:color w:val="0A2540"/>
          <w:sz w:val="36"/>
          <w:szCs w:val="36"/>
        </w:rPr>
        <w:t xml:space="preserve">2. What Is a Wave? Controlled Batching at Scale</w:t>
      </w:r>
    </w:p>
    <w:p>
      <w:pPr>
        <w:spacing w:before="100" w:after="140"/>
        <w:jc w:val="both"/>
      </w:pPr>
      <w:r>
        <w:rPr>
          <w:rFonts w:ascii="Arial" w:cs="Arial" w:eastAsia="Arial" w:hAnsi="Arial"/>
          <w:color w:val="1A2332"/>
          <w:sz w:val="24"/>
          <w:szCs w:val="24"/>
        </w:rPr>
        <w:t xml:space="preserve">Before explaining the agents, it is important to understand the concept of a wave — because it governs how the entire migration is sequenced.</w:t>
      </w:r>
    </w:p>
    <w:p>
      <w:pPr>
        <w:spacing w:before="100" w:after="140"/>
        <w:jc w:val="both"/>
      </w:pPr>
      <w:r>
        <w:rPr>
          <w:rFonts w:ascii="Arial" w:cs="Arial" w:eastAsia="Arial" w:hAnsi="Arial"/>
          <w:color w:val="1A2332"/>
          <w:sz w:val="24"/>
          <w:szCs w:val="24"/>
        </w:rPr>
        <w:t xml:space="preserve">A wave is a controlled batch of Jenkins jobs that are migrated together as a group, in a defined order, with a mandatory health-check gate before the next batch begins. The analogy is a software release that goes to 100 users first, then 1,000, then everyone — never all at once.</w:t>
      </w:r>
    </w:p>
    <w:p>
      <w:pPr>
        <w:pStyle w:val="Heading3"/>
        <w:spacing w:before="240" w:after="100"/>
      </w:pPr>
      <w:r>
        <w:rPr>
          <w:rFonts w:ascii="Arial" w:cs="Arial" w:eastAsia="Arial" w:hAnsi="Arial"/>
          <w:b/>
          <w:bCs/>
          <w:color w:val="0A2540"/>
          <w:sz w:val="24"/>
          <w:szCs w:val="24"/>
        </w:rPr>
        <w:t xml:space="preserve">Why Not Migrate All 5,000 Jobs at Once?</w:t>
      </w:r>
    </w:p>
    <w:p>
      <w:pPr>
        <w:pStyle w:val="ListParagraph"/>
        <w:numPr>
          <w:ilvl w:val="0"/>
          <w:numId w:val="2"/>
        </w:numPr>
        <w:spacing w:before="60" w:after="60"/>
      </w:pPr>
      <w:r>
        <w:rPr>
          <w:rFonts w:ascii="Arial" w:cs="Arial" w:eastAsia="Arial" w:hAnsi="Arial"/>
          <w:color w:val="1A2332"/>
          <w:sz w:val="24"/>
          <w:szCs w:val="24"/>
        </w:rPr>
        <w:t xml:space="preserve">Blast radius: If the Converter Agent has a systematic bug, catching it in Wave 1 (200 jobs) prevents it from corrupting 4,800 more.</w:t>
      </w:r>
    </w:p>
    <w:p>
      <w:pPr>
        <w:pStyle w:val="ListParagraph"/>
        <w:numPr>
          <w:ilvl w:val="0"/>
          <w:numId w:val="2"/>
        </w:numPr>
        <w:spacing w:before="60" w:after="60"/>
      </w:pPr>
      <w:r>
        <w:rPr>
          <w:rFonts w:ascii="Arial" w:cs="Arial" w:eastAsia="Arial" w:hAnsi="Arial"/>
          <w:color w:val="1A2332"/>
          <w:sz w:val="24"/>
          <w:szCs w:val="24"/>
        </w:rPr>
        <w:t xml:space="preserve">Dependency order: Job A triggers Job B which deploys to production. Job B cannot migrate before Job A or its trigger disappears silently.</w:t>
      </w:r>
    </w:p>
    <w:p>
      <w:pPr>
        <w:pStyle w:val="ListParagraph"/>
        <w:numPr>
          <w:ilvl w:val="0"/>
          <w:numId w:val="2"/>
        </w:numPr>
        <w:spacing w:before="60" w:after="60"/>
      </w:pPr>
      <w:r>
        <w:rPr>
          <w:rFonts w:ascii="Arial" w:cs="Arial" w:eastAsia="Arial" w:hAnsi="Arial"/>
          <w:color w:val="1A2332"/>
          <w:sz w:val="24"/>
          <w:szCs w:val="24"/>
        </w:rPr>
        <w:t xml:space="preserve">Human capacity: Platform engineers can meaningfully review 200 migrations per wave. They cannot review 5,000 simultaneously.</w:t>
      </w:r>
    </w:p>
    <w:p>
      <w:pPr>
        <w:spacing w:before="0" w:after="100"/>
      </w:pPr>
      <w:r>
        <w:rPr>
          <w:rFonts w:ascii="Arial" w:cs="Arial" w:eastAsia="Arial" w:hAnsi="Arial"/>
          <w:color w:val="1A2332"/>
          <w:sz w:val="24"/>
          <w:szCs w:val="24"/>
        </w:rPr>
        <w:t xml:space="preserve"/>
      </w:r>
    </w:p>
    <w:p>
      <w:pPr>
        <w:pStyle w:val="Heading3"/>
        <w:spacing w:before="240" w:after="100"/>
      </w:pPr>
      <w:r>
        <w:rPr>
          <w:rFonts w:ascii="Arial" w:cs="Arial" w:eastAsia="Arial" w:hAnsi="Arial"/>
          <w:b/>
          <w:bCs/>
          <w:color w:val="0A2540"/>
          <w:sz w:val="24"/>
          <w:szCs w:val="24"/>
        </w:rPr>
        <w:t xml:space="preserve">The Six Waves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2160"/>
        <w:gridCol w:w="2600"/>
      </w:tblGrid>
      <w:tr>
        <w:tc>
          <w:tcPr>
            <w:tcW w:type="dxa" w:w="12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Wave</w:t>
            </w:r>
          </w:p>
        </w:tc>
        <w:tc>
          <w:tcPr>
            <w:tcW w:type="dxa" w:w="12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Jobs</w:t>
            </w:r>
          </w:p>
        </w:tc>
        <w:tc>
          <w:tcPr>
            <w:tcW w:type="dxa" w:w="22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16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Risk Tier</w:t>
            </w:r>
          </w:p>
        </w:tc>
        <w:tc>
          <w:tcPr>
            <w:tcW w:type="dxa" w:w="26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Gate Before Starting</w:t>
            </w:r>
          </w:p>
        </w:tc>
      </w:tr>
      <w:tr>
        <w:tc>
          <w:tcPr>
            <w:tcW w:type="dxa" w:w="1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0</w:t>
            </w:r>
          </w:p>
        </w:tc>
        <w:tc>
          <w:tcPr>
            <w:tcW w:type="dxa" w:w="1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10</w:t>
            </w:r>
          </w:p>
        </w:tc>
        <w:tc>
          <w:tcPr>
            <w:tcW w:type="dxa" w:w="2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Hand-selected pilots, zero dependents</w:t>
            </w:r>
          </w:p>
        </w:tc>
        <w:tc>
          <w:tcPr>
            <w:tcW w:type="dxa" w:w="21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LOW (0–20)</w:t>
            </w:r>
          </w:p>
        </w:tc>
        <w:tc>
          <w:tcPr>
            <w:tcW w:type="dxa" w:w="2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Program Director + 2-week health check</w:t>
            </w:r>
          </w:p>
        </w:tc>
      </w:tr>
      <w:tr>
        <w:tc>
          <w:tcPr>
            <w:tcW w:type="dxa" w:w="1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1</w:t>
            </w:r>
          </w:p>
        </w:tc>
        <w:tc>
          <w:tcPr>
            <w:tcW w:type="dxa" w:w="1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~200</w:t>
            </w:r>
          </w:p>
        </w:tc>
        <w:tc>
          <w:tcPr>
            <w:tcW w:type="dxa" w:w="2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Simple builds, leaf nodes, no custom plugins</w:t>
            </w:r>
          </w:p>
        </w:tc>
        <w:tc>
          <w:tcPr>
            <w:tcW w:type="dxa" w:w="216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LOW (0–20)</w:t>
            </w:r>
          </w:p>
        </w:tc>
        <w:tc>
          <w:tcPr>
            <w:tcW w:type="dxa" w:w="26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Wave 0 health check passed</w:t>
            </w:r>
          </w:p>
        </w:tc>
      </w:tr>
      <w:tr>
        <w:tc>
          <w:tcPr>
            <w:tcW w:type="dxa" w:w="1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2</w:t>
            </w:r>
          </w:p>
        </w:tc>
        <w:tc>
          <w:tcPr>
            <w:tcW w:type="dxa" w:w="1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~800</w:t>
            </w:r>
          </w:p>
        </w:tc>
        <w:tc>
          <w:tcPr>
            <w:tcW w:type="dxa" w:w="2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Standard CI jobs, all plugins mapped</w:t>
            </w:r>
          </w:p>
        </w:tc>
        <w:tc>
          <w:tcPr>
            <w:tcW w:type="dxa" w:w="21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MODERATE (21–40)</w:t>
            </w:r>
          </w:p>
        </w:tc>
        <w:tc>
          <w:tcPr>
            <w:tcW w:type="dxa" w:w="2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Wave 1 health check + human sign-off</w:t>
            </w:r>
          </w:p>
        </w:tc>
      </w:tr>
      <w:tr>
        <w:tc>
          <w:tcPr>
            <w:tcW w:type="dxa" w:w="1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3</w:t>
            </w:r>
          </w:p>
        </w:tc>
        <w:tc>
          <w:tcPr>
            <w:tcW w:type="dxa" w:w="1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~2,000</w:t>
            </w:r>
          </w:p>
        </w:tc>
        <w:tc>
          <w:tcPr>
            <w:tcW w:type="dxa" w:w="2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Complex CI/CD, multi-environment deploy</w:t>
            </w:r>
          </w:p>
        </w:tc>
        <w:tc>
          <w:tcPr>
            <w:tcW w:type="dxa" w:w="216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HIGH (41–65)</w:t>
            </w:r>
          </w:p>
        </w:tc>
        <w:tc>
          <w:tcPr>
            <w:tcW w:type="dxa" w:w="26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Human Gate 1 (pre-conversion review)</w:t>
            </w:r>
          </w:p>
        </w:tc>
      </w:tr>
      <w:tr>
        <w:tc>
          <w:tcPr>
            <w:tcW w:type="dxa" w:w="1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4</w:t>
            </w:r>
          </w:p>
        </w:tc>
        <w:tc>
          <w:tcPr>
            <w:tcW w:type="dxa" w:w="1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~900</w:t>
            </w:r>
          </w:p>
        </w:tc>
        <w:tc>
          <w:tcPr>
            <w:tcW w:type="dxa" w:w="2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Critical path jobs, many dependents</w:t>
            </w:r>
          </w:p>
        </w:tc>
        <w:tc>
          <w:tcPr>
            <w:tcW w:type="dxa" w:w="21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CRITICAL (66–85)</w:t>
            </w:r>
          </w:p>
        </w:tc>
        <w:tc>
          <w:tcPr>
            <w:tcW w:type="dxa" w:w="2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Individual human sign-off per deployment</w:t>
            </w:r>
          </w:p>
        </w:tc>
      </w:tr>
      <w:tr>
        <w:tc>
          <w:tcPr>
            <w:tcW w:type="dxa" w:w="1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5</w:t>
            </w:r>
          </w:p>
        </w:tc>
        <w:tc>
          <w:tcPr>
            <w:tcW w:type="dxa" w:w="1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~90</w:t>
            </w:r>
          </w:p>
        </w:tc>
        <w:tc>
          <w:tcPr>
            <w:tcW w:type="dxa" w:w="2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Unmigrateable, circular deps, custom DSL</w:t>
            </w:r>
          </w:p>
        </w:tc>
        <w:tc>
          <w:tcPr>
            <w:tcW w:type="dxa" w:w="216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EXTREME (86–100)</w:t>
            </w:r>
          </w:p>
        </w:tc>
        <w:tc>
          <w:tcPr>
            <w:tcW w:type="dxa" w:w="26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Full manual migration only</w:t>
            </w:r>
          </w:p>
        </w:tc>
      </w:tr>
    </w:tbl>
    <w:p>
      <w:pPr>
        <w:spacing w:before="0" w:after="100"/>
      </w:pPr>
      <w:r>
        <w:rPr>
          <w:rFonts w:ascii="Arial" w:cs="Arial" w:eastAsia="Arial" w:hAnsi="Arial"/>
          <w:color w:val="1A2332"/>
          <w:sz w:val="24"/>
          <w:szCs w:val="24"/>
        </w:rPr>
        <w:t xml:space="preserve"/>
      </w:r>
    </w:p>
    <w:p>
      <w:pPr>
        <w:spacing w:before="100" w:after="140"/>
        <w:jc w:val="both"/>
      </w:pPr>
      <w:r>
        <w:rPr>
          <w:rFonts w:ascii="Arial" w:cs="Arial" w:eastAsia="Arial" w:hAnsi="Arial"/>
          <w:color w:val="1A2332"/>
          <w:sz w:val="24"/>
          <w:szCs w:val="24"/>
        </w:rPr>
        <w:t xml:space="preserve">A wave does not start automatically. Three conditions must all be met: the previous wave passes a two-week health check, all upstream job dependencies are in COMPLETE state, and a human wave authorisation token is issued. Only then does the Orchestrator release jobs into the next wave.</w:t>
      </w:r>
    </w:p>
    <w:p>
      <w:pPr>
        <w:spacing w:before="0" w:after="0"/>
      </w:pPr>
      <w:r>
        <w:br w:type="page"/>
      </w:r>
    </w:p>
    <w:p>
      <w:pPr>
        <w:pStyle w:val="Heading1"/>
        <w:spacing w:before="400" w:after="200"/>
      </w:pPr>
      <w:r>
        <w:rPr>
          <w:rFonts w:ascii="Arial" w:cs="Arial" w:eastAsia="Arial" w:hAnsi="Arial"/>
          <w:b/>
          <w:bCs/>
          <w:color w:val="0A2540"/>
          <w:sz w:val="36"/>
          <w:szCs w:val="36"/>
        </w:rPr>
        <w:t xml:space="preserve">3. The 14 Agents: What They Are and Why Each Exists</w:t>
      </w:r>
    </w:p>
    <w:p>
      <w:pPr>
        <w:spacing w:before="100" w:after="140"/>
        <w:jc w:val="both"/>
      </w:pPr>
      <w:r>
        <w:rPr>
          <w:rFonts w:ascii="Arial" w:cs="Arial" w:eastAsia="Arial" w:hAnsi="Arial"/>
          <w:color w:val="1A2332"/>
          <w:sz w:val="24"/>
          <w:szCs w:val="24"/>
        </w:rPr>
        <w:t xml:space="preserve">The most important architectural decision in this system is: not every agent uses an LLM. Out of 14 agents, only 3 are fully LLM-based, 2 are hybrid, and 9 are fully deterministic. Misassigning LLMs to agents that do not need them is the single largest source of unnecessary cost, latency, and non-determinism in enterprise AI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60A" w:sz="4"/>
              <w:left w:val="thick" w:color="D4860A" w:sz="12"/>
              <w:bottom w:val="single" w:color="D4860A" w:sz="4"/>
              <w:right w:val="single" w:color="D4860A" w:sz="4"/>
            </w:tcBorders>
            <w:shd w:fill="FFF3CD" w:val="clear"/>
            <w:tcMar>
              <w:top w:type="dxa" w:w="120"/>
              <w:left w:type="dxa" w:w="180"/>
              <w:bottom w:type="dxa" w:w="120"/>
              <w:right w:type="dxa" w:w="180"/>
            </w:tcMar>
          </w:tcPr>
          <w:p>
            <w:r>
              <w:rPr>
                <w:rFonts w:ascii="Arial" w:cs="Arial" w:eastAsia="Arial" w:hAnsi="Arial"/>
                <w:b/>
                <w:bCs/>
                <w:color w:val="D4860A"/>
                <w:sz w:val="22"/>
                <w:szCs w:val="22"/>
              </w:rPr>
              <w:t xml:space="preserve">The Right Question:  </w:t>
            </w:r>
            <w:r>
              <w:rPr>
                <w:rFonts w:ascii="Arial" w:cs="Arial" w:eastAsia="Arial" w:hAnsi="Arial"/>
                <w:color w:val="1A2332"/>
                <w:sz w:val="22"/>
                <w:szCs w:val="22"/>
              </w:rPr>
              <w:t xml:space="preserve">Do not ask 'which agents get an LLM?' Ask: 'which tasks require semantic reasoning that cannot be expressed as deterministic rules?' Only those tasks should use an LLM.</w:t>
            </w:r>
          </w:p>
        </w:tc>
      </w:tr>
    </w:tbl>
    <w:p>
      <w:pPr>
        <w:spacing w:before="0" w:after="100"/>
      </w:pPr>
      <w:r>
        <w:rPr>
          <w:rFonts w:ascii="Arial" w:cs="Arial" w:eastAsia="Arial" w:hAnsi="Arial"/>
          <w:color w:val="1A2332"/>
          <w:sz w:val="24"/>
          <w:szCs w:val="24"/>
        </w:rPr>
        <w:t xml:space="preserve"/>
      </w:r>
    </w:p>
    <w:p>
      <w:pPr>
        <w:pStyle w:val="Heading2"/>
        <w:pBdr>
          <w:bottom w:val="single" w:color="B8D4EA" w:sz="4" w:space="4"/>
        </w:pBdr>
        <w:spacing w:before="320" w:after="160"/>
      </w:pPr>
      <w:r>
        <w:rPr>
          <w:rFonts w:ascii="Arial" w:cs="Arial" w:eastAsia="Arial" w:hAnsi="Arial"/>
          <w:b/>
          <w:bCs/>
          <w:color w:val="0072CE"/>
          <w:sz w:val="28"/>
          <w:szCs w:val="28"/>
        </w:rPr>
        <w:t xml:space="preserve">3.1 Core Agents (8) — The Migration Pipeline</w:t>
      </w:r>
    </w:p>
    <w:p>
      <w:pPr>
        <w:pStyle w:val="Heading3"/>
        <w:spacing w:before="240" w:after="100"/>
      </w:pPr>
      <w:r>
        <w:rPr>
          <w:rFonts w:ascii="Arial" w:cs="Arial" w:eastAsia="Arial" w:hAnsi="Arial"/>
          <w:b/>
          <w:bCs/>
          <w:color w:val="0A2540"/>
          <w:sz w:val="24"/>
          <w:szCs w:val="24"/>
        </w:rPr>
        <w:t xml:space="preserve">Agent 1: Intake Agent — Deterministic</w:t>
      </w:r>
    </w:p>
    <w:p>
      <w:pPr>
        <w:spacing w:before="100" w:after="140"/>
        <w:jc w:val="both"/>
      </w:pPr>
      <w:r>
        <w:rPr>
          <w:rFonts w:ascii="Arial" w:cs="Arial" w:eastAsia="Arial" w:hAnsi="Arial"/>
          <w:color w:val="1A2332"/>
          <w:sz w:val="24"/>
          <w:szCs w:val="24"/>
        </w:rPr>
        <w:t xml:space="preserve">Reads Jenkins job inventory, fingerprints each job with a SHA-256 hash of its config content, deduplicates, and creates the canonical record in the Migration State Store. This is the single entry point to the system. Without it, multiple downstream agents would independently discover and read the same jobs, producing race conditions and duplicate processing.</w:t>
      </w:r>
    </w:p>
    <w:p>
      <w:pPr>
        <w:spacing w:before="100" w:after="140"/>
        <w:jc w:val="both"/>
      </w:pPr>
      <w:r>
        <w:rPr>
          <w:rFonts w:ascii="Arial" w:cs="Arial" w:eastAsia="Arial" w:hAnsi="Arial"/>
          <w:color w:val="1A2332"/>
          <w:sz w:val="24"/>
          <w:szCs w:val="24"/>
        </w:rPr>
        <w:t xml:space="preserve">Why no LLM: Fingerprinting is hashing. Deduplication is set membership. These have exact correct answers. An LLM adds latency and non-determinism for zero quality improvement.</w:t>
      </w:r>
    </w:p>
    <w:p>
      <w:pPr>
        <w:spacing w:before="0" w:after="100"/>
      </w:pPr>
      <w:r>
        <w:rPr>
          <w:rFonts w:ascii="Arial" w:cs="Arial" w:eastAsia="Arial" w:hAnsi="Arial"/>
          <w:color w:val="1A2332"/>
          <w:sz w:val="24"/>
          <w:szCs w:val="24"/>
        </w:rPr>
        <w:t xml:space="preserve"/>
      </w:r>
    </w:p>
    <w:p>
      <w:pPr>
        <w:pStyle w:val="Heading3"/>
        <w:spacing w:before="240" w:after="100"/>
      </w:pPr>
      <w:r>
        <w:rPr>
          <w:rFonts w:ascii="Arial" w:cs="Arial" w:eastAsia="Arial" w:hAnsi="Arial"/>
          <w:b/>
          <w:bCs/>
          <w:color w:val="0A2540"/>
          <w:sz w:val="24"/>
          <w:szCs w:val="24"/>
        </w:rPr>
        <w:t xml:space="preserve">Agent 2: Dependency Graph Agent — Deterministic</w:t>
      </w:r>
    </w:p>
    <w:p>
      <w:pPr>
        <w:spacing w:before="100" w:after="140"/>
        <w:jc w:val="both"/>
      </w:pPr>
      <w:r>
        <w:rPr>
          <w:rFonts w:ascii="Arial" w:cs="Arial" w:eastAsia="Arial" w:hAnsi="Arial"/>
          <w:color w:val="1A2332"/>
          <w:sz w:val="24"/>
          <w:szCs w:val="24"/>
        </w:rPr>
        <w:t xml:space="preserve">Builds the full directed acyclic graph of all 5,000 job dependencies — downstream triggers, artifact consumers, shared library relationships — and computes a topological sort to assign every job to a wave. Stored in Azure Cosmos DB Gremlin API.</w:t>
      </w:r>
    </w:p>
    <w:p>
      <w:pPr>
        <w:spacing w:before="100" w:after="140"/>
        <w:jc w:val="both"/>
      </w:pPr>
      <w:r>
        <w:rPr>
          <w:rFonts w:ascii="Arial" w:cs="Arial" w:eastAsia="Arial" w:hAnsi="Arial"/>
          <w:color w:val="1A2332"/>
          <w:sz w:val="24"/>
          <w:szCs w:val="24"/>
        </w:rPr>
        <w:t xml:space="preserve">Why no LLM: Graph traversal and topological sort are solved computer science problems. Kahn's algorithm produces the correct wave assignment in O(N+E) time. An LLM cannot improve on this and would introduce non-determinism into migration ordering, which is a safety property.</w:t>
      </w:r>
    </w:p>
    <w:p>
      <w:pPr>
        <w:spacing w:before="0" w:after="100"/>
      </w:pPr>
      <w:r>
        <w:rPr>
          <w:rFonts w:ascii="Arial" w:cs="Arial" w:eastAsia="Arial" w:hAnsi="Arial"/>
          <w:color w:val="1A2332"/>
          <w:sz w:val="24"/>
          <w:szCs w:val="24"/>
        </w:rPr>
        <w:t xml:space="preserve"/>
      </w:r>
    </w:p>
    <w:p>
      <w:pPr>
        <w:pStyle w:val="Heading3"/>
        <w:spacing w:before="240" w:after="100"/>
      </w:pPr>
      <w:r>
        <w:rPr>
          <w:rFonts w:ascii="Arial" w:cs="Arial" w:eastAsia="Arial" w:hAnsi="Arial"/>
          <w:b/>
          <w:bCs/>
          <w:color w:val="0A2540"/>
          <w:sz w:val="24"/>
          <w:szCs w:val="24"/>
        </w:rPr>
        <w:t xml:space="preserve">Agent 3: Analyzer Agent — Full LLM</w:t>
      </w:r>
    </w:p>
    <w:p>
      <w:pPr>
        <w:spacing w:before="100" w:after="140"/>
        <w:jc w:val="both"/>
      </w:pPr>
      <w:r>
        <w:rPr>
          <w:rFonts w:ascii="Arial" w:cs="Arial" w:eastAsia="Arial" w:hAnsi="Arial"/>
          <w:color w:val="1A2332"/>
          <w:sz w:val="24"/>
          <w:szCs w:val="24"/>
        </w:rPr>
        <w:t xml:space="preserve">The most intellectually demanding agent. It receives both the Jenkins UI configuration (triggers, parameters, retention policy, agent assignment — extracted from config.xml) and the Jenkinsfile from GitHub (stages, steps, credentials, shared library calls — parsed to structured AST JSON by a deterministic parser in the MCP server). It combines these two sources into a unified Migration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F" w:sz="4"/>
              <w:left w:val="thick" w:color="1A7A3F" w:sz="12"/>
              <w:bottom w:val="single" w:color="1A7A3F" w:sz="4"/>
              <w:right w:val="single" w:color="1A7A3F" w:sz="4"/>
            </w:tcBorders>
            <w:shd w:fill="D4EDDA" w:val="clear"/>
            <w:tcMar>
              <w:top w:type="dxa" w:w="120"/>
              <w:left w:type="dxa" w:w="180"/>
              <w:bottom w:type="dxa" w:w="120"/>
              <w:right w:type="dxa" w:w="180"/>
            </w:tcMar>
          </w:tcPr>
          <w:p>
            <w:r>
              <w:rPr>
                <w:rFonts w:ascii="Arial" w:cs="Arial" w:eastAsia="Arial" w:hAnsi="Arial"/>
                <w:b/>
                <w:bCs/>
                <w:color w:val="1A7A3F"/>
                <w:sz w:val="22"/>
                <w:szCs w:val="22"/>
              </w:rPr>
              <w:t xml:space="preserve">Critical Design Decision:  </w:t>
            </w:r>
            <w:r>
              <w:rPr>
                <w:rFonts w:ascii="Arial" w:cs="Arial" w:eastAsia="Arial" w:hAnsi="Arial"/>
                <w:color w:val="1A2332"/>
                <w:sz w:val="22"/>
                <w:szCs w:val="22"/>
              </w:rPr>
              <w:t xml:space="preserve">The LLM never receives raw Groovy or raw XML. Both sources are pre-processed by deterministic parsers in the MCP tool server into structured JSON before reaching the LLM. This reduces token usage from 15,000–40,000 tokens per job (raw) to 2,000–4,000 tokens (structured) — a 75–85% reduction with higher reliability.</w:t>
            </w:r>
          </w:p>
        </w:tc>
      </w:tr>
    </w:tbl>
    <w:p>
      <w:pPr>
        <w:spacing w:before="0" w:after="100"/>
      </w:pPr>
      <w:r>
        <w:rPr>
          <w:rFonts w:ascii="Arial" w:cs="Arial" w:eastAsia="Arial" w:hAnsi="Arial"/>
          <w:color w:val="1A2332"/>
          <w:sz w:val="24"/>
          <w:szCs w:val="24"/>
        </w:rPr>
        <w:t xml:space="preserve"/>
      </w:r>
    </w:p>
    <w:p>
      <w:pPr>
        <w:spacing w:before="100" w:after="140"/>
        <w:jc w:val="both"/>
      </w:pPr>
      <w:r>
        <w:rPr>
          <w:rFonts w:ascii="Arial" w:cs="Arial" w:eastAsia="Arial" w:hAnsi="Arial"/>
          <w:color w:val="1A2332"/>
          <w:sz w:val="24"/>
          <w:szCs w:val="24"/>
        </w:rPr>
        <w:t xml:space="preserve">Why LLM is required: The Analyzer must resolve semantic conflicts between two sources. If the UI config sets a 5-minute SCM poll trigger and the Jenkinsfile defines a weekly cron trigger, a deterministic rule cannot decide which wins and why. That requires judgment about the engineer's intent. The Analyzer also detects implicit behaviours — a post { always { junit } } block implies test result publishing even if no explicit publish step exists. No rule engine can handle this richness.</w:t>
      </w:r>
    </w:p>
    <w:p>
      <w:pPr>
        <w:spacing w:before="0" w:after="100"/>
      </w:pPr>
      <w:r>
        <w:rPr>
          <w:rFonts w:ascii="Arial" w:cs="Arial" w:eastAsia="Arial" w:hAnsi="Arial"/>
          <w:color w:val="1A2332"/>
          <w:sz w:val="24"/>
          <w:szCs w:val="24"/>
        </w:rPr>
        <w:t xml:space="preserve"/>
      </w:r>
    </w:p>
    <w:p>
      <w:pPr>
        <w:pStyle w:val="Heading3"/>
        <w:spacing w:before="240" w:after="100"/>
      </w:pPr>
      <w:r>
        <w:rPr>
          <w:rFonts w:ascii="Arial" w:cs="Arial" w:eastAsia="Arial" w:hAnsi="Arial"/>
          <w:b/>
          <w:bCs/>
          <w:color w:val="0A2540"/>
          <w:sz w:val="24"/>
          <w:szCs w:val="24"/>
        </w:rPr>
        <w:t xml:space="preserve">Agent 4: Converter Agent — Full LLM (Three-Tier Strategy)</w:t>
      </w:r>
    </w:p>
    <w:p>
      <w:pPr>
        <w:spacing w:before="100" w:after="140"/>
        <w:jc w:val="both"/>
      </w:pPr>
      <w:r>
        <w:rPr>
          <w:rFonts w:ascii="Arial" w:cs="Arial" w:eastAsia="Arial" w:hAnsi="Arial"/>
          <w:color w:val="1A2332"/>
          <w:sz w:val="24"/>
          <w:szCs w:val="24"/>
        </w:rPr>
        <w:t xml:space="preserve">Translates the Migration Brief into Azure DevOps YAML plus a Conversion Manifest — a machine-readable audit trail documenting every mapping decision with confidence scores. The Converter never reads Jenkins or GitHub directly. It only reasons about the structured Migration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600"/>
        <w:gridCol w:w="2600"/>
      </w:tblGrid>
      <w:tr>
        <w:tc>
          <w:tcPr>
            <w:tcW w:type="dxa" w:w="156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 of Jobs</w:t>
            </w:r>
          </w:p>
        </w:tc>
        <w:tc>
          <w:tcPr>
            <w:tcW w:type="dxa" w:w="18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LLM Used</w:t>
            </w:r>
          </w:p>
        </w:tc>
        <w:tc>
          <w:tcPr>
            <w:tcW w:type="dxa" w:w="16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Cost/Job</w:t>
            </w:r>
          </w:p>
        </w:tc>
        <w:tc>
          <w:tcPr>
            <w:tcW w:type="dxa" w:w="26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Success Rate (Level-2)</w:t>
            </w:r>
          </w:p>
        </w:tc>
      </w:tr>
      <w:tr>
        <w:tc>
          <w:tcPr>
            <w:tcW w:type="dxa" w:w="15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Rules Engine</w:t>
            </w:r>
          </w:p>
        </w:tc>
        <w:tc>
          <w:tcPr>
            <w:tcW w:type="dxa" w:w="18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30–35%</w:t>
            </w:r>
          </w:p>
        </w:tc>
        <w:tc>
          <w:tcPr>
            <w:tcW w:type="dxa" w:w="18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None</w:t>
            </w:r>
          </w:p>
        </w:tc>
        <w:tc>
          <w:tcPr>
            <w:tcW w:type="dxa" w:w="1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$0</w:t>
            </w:r>
          </w:p>
        </w:tc>
        <w:tc>
          <w:tcPr>
            <w:tcW w:type="dxa" w:w="2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88–92%</w:t>
            </w:r>
          </w:p>
        </w:tc>
      </w:tr>
      <w:tr>
        <w:tc>
          <w:tcPr>
            <w:tcW w:type="dxa" w:w="156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Mid-Tier LLM</w:t>
            </w:r>
          </w:p>
        </w:tc>
        <w:tc>
          <w:tcPr>
            <w:tcW w:type="dxa" w:w="18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40–45%</w:t>
            </w:r>
          </w:p>
        </w:tc>
        <w:tc>
          <w:tcPr>
            <w:tcW w:type="dxa" w:w="18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e.g. Claude Haiku</w:t>
            </w:r>
          </w:p>
        </w:tc>
        <w:tc>
          <w:tcPr>
            <w:tcW w:type="dxa" w:w="16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$0.03–0.08</w:t>
            </w:r>
          </w:p>
        </w:tc>
        <w:tc>
          <w:tcPr>
            <w:tcW w:type="dxa" w:w="26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75–83%</w:t>
            </w:r>
          </w:p>
        </w:tc>
      </w:tr>
      <w:tr>
        <w:tc>
          <w:tcPr>
            <w:tcW w:type="dxa" w:w="15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Frontier LLM</w:t>
            </w:r>
          </w:p>
        </w:tc>
        <w:tc>
          <w:tcPr>
            <w:tcW w:type="dxa" w:w="18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20–25%</w:t>
            </w:r>
          </w:p>
        </w:tc>
        <w:tc>
          <w:tcPr>
            <w:tcW w:type="dxa" w:w="18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e.g. Claude Sonnet</w:t>
            </w:r>
          </w:p>
        </w:tc>
        <w:tc>
          <w:tcPr>
            <w:tcW w:type="dxa" w:w="1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$0.15–0.40</w:t>
            </w:r>
          </w:p>
        </w:tc>
        <w:tc>
          <w:tcPr>
            <w:tcW w:type="dxa" w:w="26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55–65%</w:t>
            </w:r>
          </w:p>
        </w:tc>
      </w:tr>
    </w:tbl>
    <w:p>
      <w:pPr>
        <w:spacing w:before="0" w:after="100"/>
      </w:pPr>
      <w:r>
        <w:rPr>
          <w:rFonts w:ascii="Arial" w:cs="Arial" w:eastAsia="Arial" w:hAnsi="Arial"/>
          <w:color w:val="1A2332"/>
          <w:sz w:val="24"/>
          <w:szCs w:val="24"/>
        </w:rPr>
        <w:t xml:space="preserve"/>
      </w:r>
    </w:p>
    <w:p>
      <w:pPr>
        <w:spacing w:before="100" w:after="140"/>
        <w:jc w:val="both"/>
      </w:pPr>
      <w:r>
        <w:rPr>
          <w:rFonts w:ascii="Arial" w:cs="Arial" w:eastAsia="Arial" w:hAnsi="Arial"/>
          <w:color w:val="1A2332"/>
          <w:sz w:val="24"/>
          <w:szCs w:val="24"/>
        </w:rPr>
        <w:t xml:space="preserve">Total estimated LLM API cost for all 5,000 jobs: $310–$695. Trivial compared to human labour. The tiered model is not about minimising spend — it is about ensuring that expensive reasoning capacity is used only where it adds value.</w:t>
      </w:r>
    </w:p>
    <w:p>
      <w:pPr>
        <w:spacing w:before="0" w:after="100"/>
      </w:pPr>
      <w:r>
        <w:rPr>
          <w:rFonts w:ascii="Arial" w:cs="Arial" w:eastAsia="Arial" w:hAnsi="Arial"/>
          <w:color w:val="1A2332"/>
          <w:sz w:val="24"/>
          <w:szCs w:val="24"/>
        </w:rPr>
        <w:t xml:space="preserve"/>
      </w:r>
    </w:p>
    <w:p>
      <w:pPr>
        <w:pStyle w:val="Heading3"/>
        <w:spacing w:before="240" w:after="100"/>
      </w:pPr>
      <w:r>
        <w:rPr>
          <w:rFonts w:ascii="Arial" w:cs="Arial" w:eastAsia="Arial" w:hAnsi="Arial"/>
          <w:b/>
          <w:bCs/>
          <w:color w:val="0A2540"/>
          <w:sz w:val="24"/>
          <w:szCs w:val="24"/>
        </w:rPr>
        <w:t xml:space="preserve">Agent 5: Validator Agent — Hybrid</w:t>
      </w:r>
    </w:p>
    <w:p>
      <w:pPr>
        <w:spacing w:before="100" w:after="140"/>
        <w:jc w:val="both"/>
      </w:pPr>
      <w:r>
        <w:rPr>
          <w:rFonts w:ascii="Arial" w:cs="Arial" w:eastAsia="Arial" w:hAnsi="Arial"/>
          <w:color w:val="1A2332"/>
          <w:sz w:val="24"/>
          <w:szCs w:val="24"/>
        </w:rPr>
        <w:t xml:space="preserve">Runs three validation planes against the generated YAML. Plane 1 (syntactic) and Plane 2 (security scanning, RBAC scope, forbidden constructs) are fully deterministic — these must be 100% reproducible. A security control that an LLM 'misses' on one run but catches on another is a security gap. Plane 3 (semantic alignment) checks whether the YAML actually implements what the Conversion Manifest claims — this is a reading comprehension and logical consistency task that requires LLM reasoning.</w:t>
      </w:r>
    </w:p>
    <w:p>
      <w:pPr>
        <w:spacing w:before="0" w:after="100"/>
      </w:pPr>
      <w:r>
        <w:rPr>
          <w:rFonts w:ascii="Arial" w:cs="Arial" w:eastAsia="Arial" w:hAnsi="Arial"/>
          <w:color w:val="1A2332"/>
          <w:sz w:val="24"/>
          <w:szCs w:val="24"/>
        </w:rPr>
        <w:t xml:space="preserve"/>
      </w:r>
    </w:p>
    <w:p>
      <w:pPr>
        <w:pStyle w:val="Heading3"/>
        <w:spacing w:before="240" w:after="100"/>
      </w:pPr>
      <w:r>
        <w:rPr>
          <w:rFonts w:ascii="Arial" w:cs="Arial" w:eastAsia="Arial" w:hAnsi="Arial"/>
          <w:b/>
          <w:bCs/>
          <w:color w:val="0A2540"/>
          <w:sz w:val="24"/>
          <w:szCs w:val="24"/>
        </w:rPr>
        <w:t xml:space="preserve">Agents 6–8: Deployment, Monitoring, Orchestrator — All Deterministic</w:t>
      </w:r>
    </w:p>
    <w:p>
      <w:pPr>
        <w:spacing w:before="100" w:after="140"/>
        <w:jc w:val="both"/>
      </w:pPr>
      <w:r>
        <w:rPr>
          <w:rFonts w:ascii="Arial" w:cs="Arial" w:eastAsia="Arial" w:hAnsi="Arial"/>
          <w:color w:val="1A2332"/>
          <w:sz w:val="24"/>
          <w:szCs w:val="24"/>
        </w:rPr>
        <w:t xml:space="preserve">The Deployment Agent is the only agent with AzDO write access. It acts only after: Validator PASS, cryptographically verified human approval JWT, available deployment quota, and no active circuit breaker. Hard cap: 50 production deployments per hour globally, enforced at the MCP Gateway — not in agent code.</w:t>
      </w:r>
    </w:p>
    <w:p>
      <w:pPr>
        <w:spacing w:before="100" w:after="140"/>
        <w:jc w:val="both"/>
      </w:pPr>
      <w:r>
        <w:rPr>
          <w:rFonts w:ascii="Arial" w:cs="Arial" w:eastAsia="Arial" w:hAnsi="Arial"/>
          <w:color w:val="1A2332"/>
          <w:sz w:val="24"/>
          <w:szCs w:val="24"/>
        </w:rPr>
        <w:t xml:space="preserve">The Monitoring Agent tracks post-deployment health for 30 days using AzDO webhooks (not polling — polling 5,000 pipelines is untenable at scale). It owns decommission eligibility and triggers rollback within 5 minutes of detecting a regression.</w:t>
      </w:r>
    </w:p>
    <w:p>
      <w:pPr>
        <w:spacing w:before="100" w:after="140"/>
        <w:jc w:val="both"/>
      </w:pPr>
      <w:r>
        <w:rPr>
          <w:rFonts w:ascii="Arial" w:cs="Arial" w:eastAsia="Arial" w:hAnsi="Arial"/>
          <w:color w:val="1A2332"/>
          <w:sz w:val="24"/>
          <w:szCs w:val="24"/>
        </w:rPr>
        <w:t xml:space="preserve">The Orchestrator is the central nervous system. It does not convert or deploy anything. It sequences all 14 agents through a durable state machine with 15 states per job, enforces wave circuit breakers (if over 8% of wave jobs fail within 4 hours, the wave pauses automatically), and routes human approval requests. It must be deterministic — 'the LLM decided to start Wave 3' is not an acceptable answer in a regulated organisation's incident postmortem.</w:t>
      </w:r>
    </w:p>
    <w:p>
      <w:pPr>
        <w:pStyle w:val="Heading2"/>
        <w:pBdr>
          <w:bottom w:val="single" w:color="B8D4EA" w:sz="4" w:space="4"/>
        </w:pBdr>
        <w:spacing w:before="320" w:after="160"/>
      </w:pPr>
      <w:r>
        <w:rPr>
          <w:rFonts w:ascii="Arial" w:cs="Arial" w:eastAsia="Arial" w:hAnsi="Arial"/>
          <w:b/>
          <w:bCs/>
          <w:color w:val="0072CE"/>
          <w:sz w:val="28"/>
          <w:szCs w:val="28"/>
        </w:rPr>
        <w:t xml:space="preserve">3.2 Scale-Optimisation Agents (6) — Why They Cannot Be Omitted</w:t>
      </w:r>
    </w:p>
    <w:p>
      <w:pPr>
        <w:spacing w:before="100" w:after="140"/>
        <w:jc w:val="both"/>
      </w:pPr>
      <w:r>
        <w:rPr>
          <w:rFonts w:ascii="Arial" w:cs="Arial" w:eastAsia="Arial" w:hAnsi="Arial"/>
          <w:color w:val="1A2332"/>
          <w:sz w:val="24"/>
          <w:szCs w:val="24"/>
        </w:rPr>
        <w:t xml:space="preserve">These six agents do not exist in a 50-job system. At 5,000 jobs they are mandatory. Each one prevents a specific class of failure that only emerges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4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What Breaks Without It</w:t>
            </w:r>
          </w:p>
        </w:tc>
      </w:tr>
      <w:tr>
        <w:tc>
          <w:tcPr>
            <w:tcW w:type="dxa" w:w="2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Shared Library Agent</w:t>
            </w:r>
          </w:p>
        </w:tc>
        <w:tc>
          <w:tcPr>
            <w:tcW w:type="dxa" w:w="14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Full LLM</w:t>
            </w:r>
          </w:p>
        </w:tc>
        <w:tc>
          <w:tcPr>
            <w:tcW w:type="dxa" w:w="5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400 Converter instances independently translate the same library 400 different ways. You get 400 subtly broken AzDO template variants that you cannot detect or reconcile.</w:t>
            </w:r>
          </w:p>
        </w:tc>
      </w:tr>
      <w:tr>
        <w:tc>
          <w:tcPr>
            <w:tcW w:type="dxa" w:w="2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Plugin Registry Agent</w:t>
            </w:r>
          </w:p>
        </w:tc>
        <w:tc>
          <w:tcPr>
            <w:tcW w:type="dxa" w:w="14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Hybrid</w:t>
            </w:r>
          </w:p>
        </w:tc>
        <w:tc>
          <w:tcPr>
            <w:tcW w:type="dxa" w:w="576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Every Analyzer and Converter independently reasons about plugin mappings, producing N different answers for the same plugin. Inconsistency is invisible and undetectable.</w:t>
            </w:r>
          </w:p>
        </w:tc>
      </w:tr>
      <w:tr>
        <w:tc>
          <w:tcPr>
            <w:tcW w:type="dxa" w:w="2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Context Snapshot Agent</w:t>
            </w:r>
          </w:p>
        </w:tc>
        <w:tc>
          <w:tcPr>
            <w:tcW w:type="dxa" w:w="14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Deterministic</w:t>
            </w:r>
          </w:p>
        </w:tc>
        <w:tc>
          <w:tcPr>
            <w:tcW w:type="dxa" w:w="5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Jenkins jobs are modified during the 6-month migration window. You convert a job based on its Month 1 state and deploy Month 1 behaviour to production in Month 4. Monitoring detects regression but root cause is invisible.</w:t>
            </w:r>
          </w:p>
        </w:tc>
      </w:tr>
      <w:tr>
        <w:tc>
          <w:tcPr>
            <w:tcW w:type="dxa" w:w="2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Rate Limit Governor Agent</w:t>
            </w:r>
          </w:p>
        </w:tc>
        <w:tc>
          <w:tcPr>
            <w:tcW w:type="dxa" w:w="14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Deterministic</w:t>
            </w:r>
          </w:p>
        </w:tc>
        <w:tc>
          <w:tcPr>
            <w:tcW w:type="dxa" w:w="576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50 Analyzer instances each implement their own backoff on a Jenkins 429 response. Uncoordinated timers all fire simultaneously — producing a retry storm that saturates Jenkins for hours.</w:t>
            </w:r>
          </w:p>
        </w:tc>
      </w:tr>
      <w:tr>
        <w:tc>
          <w:tcPr>
            <w:tcW w:type="dxa" w:w="22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Risk Scoring Agent</w:t>
            </w:r>
          </w:p>
        </w:tc>
        <w:tc>
          <w:tcPr>
            <w:tcW w:type="dxa" w:w="14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Deterministic</w:t>
            </w:r>
          </w:p>
        </w:tc>
        <w:tc>
          <w:tcPr>
            <w:tcW w:type="dxa" w:w="57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Without pre-scored risk, a job that deploys to 47 production systems gets assigned to Wave 1 alongside simple build jobs. One misconfiguration takes down production.</w:t>
            </w:r>
          </w:p>
        </w:tc>
      </w:tr>
      <w:tr>
        <w:tc>
          <w:tcPr>
            <w:tcW w:type="dxa" w:w="22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Decommission Agent</w:t>
            </w:r>
          </w:p>
        </w:tc>
        <w:tc>
          <w:tcPr>
            <w:tcW w:type="dxa" w:w="14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Deterministic</w:t>
            </w:r>
          </w:p>
        </w:tc>
        <w:tc>
          <w:tcPr>
            <w:tcW w:type="dxa" w:w="576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Without ownership, teams forget to decommission jobs, decommission them too early, or decommission the wrong ones. Silently broken trigger chains appear months later.</w:t>
            </w:r>
          </w:p>
        </w:tc>
      </w:tr>
    </w:tbl>
    <w:p>
      <w:pPr>
        <w:spacing w:before="0" w:after="0"/>
      </w:pPr>
      <w:r>
        <w:br w:type="page"/>
      </w:r>
    </w:p>
    <w:p>
      <w:pPr>
        <w:pStyle w:val="Heading1"/>
        <w:spacing w:before="400" w:after="200"/>
      </w:pPr>
      <w:r>
        <w:rPr>
          <w:rFonts w:ascii="Arial" w:cs="Arial" w:eastAsia="Arial" w:hAnsi="Arial"/>
          <w:b/>
          <w:bCs/>
          <w:color w:val="0A2540"/>
          <w:sz w:val="36"/>
          <w:szCs w:val="36"/>
        </w:rPr>
        <w:t xml:space="preserve">4. How Agents Speak to Each Other</w:t>
      </w:r>
    </w:p>
    <w:p>
      <w:pPr>
        <w:spacing w:before="100" w:after="140"/>
        <w:jc w:val="both"/>
      </w:pPr>
      <w:r>
        <w:rPr>
          <w:rFonts w:ascii="Arial" w:cs="Arial" w:eastAsia="Arial" w:hAnsi="Arial"/>
          <w:color w:val="1A2332"/>
          <w:sz w:val="24"/>
          <w:szCs w:val="24"/>
        </w:rPr>
        <w:t xml:space="preserve">This is the most important architectural decision in the system, and the one most commonly done wrong in enterprise AI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2CE" w:sz="4"/>
              <w:left w:val="thick" w:color="0072CE" w:sz="12"/>
              <w:bottom w:val="single" w:color="0072CE" w:sz="4"/>
              <w:right w:val="single" w:color="0072CE" w:sz="4"/>
            </w:tcBorders>
            <w:shd w:fill="E8F4FD" w:val="clear"/>
            <w:tcMar>
              <w:top w:type="dxa" w:w="120"/>
              <w:left w:type="dxa" w:w="180"/>
              <w:bottom w:type="dxa" w:w="120"/>
              <w:right w:type="dxa" w:w="180"/>
            </w:tcMar>
          </w:tcPr>
          <w:p>
            <w:r>
              <w:rPr>
                <w:rFonts w:ascii="Arial" w:cs="Arial" w:eastAsia="Arial" w:hAnsi="Arial"/>
                <w:b/>
                <w:bCs/>
                <w:color w:val="0072CE"/>
                <w:sz w:val="22"/>
                <w:szCs w:val="22"/>
              </w:rPr>
              <w:t xml:space="preserve">The Core Rule:  </w:t>
            </w:r>
            <w:r>
              <w:rPr>
                <w:rFonts w:ascii="Arial" w:cs="Arial" w:eastAsia="Arial" w:hAnsi="Arial"/>
                <w:color w:val="1A2332"/>
                <w:sz w:val="22"/>
                <w:szCs w:val="22"/>
              </w:rPr>
              <w:t xml:space="preserve">No agent talks to another agent directly. Ever. There are no HTTP calls between agents, no shared memory, no agent invoking another agent's function. Every handoff is a structured JSON event published to Azure Service Bus.</w:t>
            </w:r>
          </w:p>
        </w:tc>
      </w:tr>
    </w:tbl>
    <w:p>
      <w:pPr>
        <w:spacing w:before="0" w:after="100"/>
      </w:pPr>
      <w:r>
        <w:rPr>
          <w:rFonts w:ascii="Arial" w:cs="Arial" w:eastAsia="Arial" w:hAnsi="Arial"/>
          <w:color w:val="1A2332"/>
          <w:sz w:val="24"/>
          <w:szCs w:val="24"/>
        </w:rPr>
        <w:t xml:space="preserve"/>
      </w:r>
    </w:p>
    <w:p>
      <w:pPr>
        <w:spacing w:before="100" w:after="140"/>
        <w:jc w:val="both"/>
      </w:pPr>
      <w:r>
        <w:rPr>
          <w:rFonts w:ascii="Arial" w:cs="Arial" w:eastAsia="Arial" w:hAnsi="Arial"/>
          <w:color w:val="1A2332"/>
          <w:sz w:val="24"/>
          <w:szCs w:val="24"/>
        </w:rPr>
        <w:t xml:space="preserve">When Agent A finishes its work, it publishes an event to its outbound Service Bus topic. Agent B, subscribed to that topic, picks it up independently. They never know each other exists at the code level. The Orchestrator Agent subscribes to all topics and manages the state machine transitions that sequence the overall flow.</w:t>
      </w:r>
    </w:p>
    <w:p>
      <w:pPr>
        <w:pStyle w:val="Heading2"/>
        <w:pBdr>
          <w:bottom w:val="single" w:color="B8D4EA" w:sz="4" w:space="4"/>
        </w:pBdr>
        <w:spacing w:before="320" w:after="160"/>
      </w:pPr>
      <w:r>
        <w:rPr>
          <w:rFonts w:ascii="Arial" w:cs="Arial" w:eastAsia="Arial" w:hAnsi="Arial"/>
          <w:b/>
          <w:bCs/>
          <w:color w:val="0072CE"/>
          <w:sz w:val="28"/>
          <w:szCs w:val="28"/>
        </w:rPr>
        <w:t xml:space="preserve">4.1 The Event Schema</w:t>
      </w:r>
    </w:p>
    <w:p>
      <w:pPr>
        <w:spacing w:before="100" w:after="140"/>
        <w:jc w:val="both"/>
      </w:pPr>
      <w:r>
        <w:rPr>
          <w:rFonts w:ascii="Arial" w:cs="Arial" w:eastAsia="Arial" w:hAnsi="Arial"/>
          <w:color w:val="1A2332"/>
          <w:sz w:val="24"/>
          <w:szCs w:val="24"/>
        </w:rPr>
        <w:t xml:space="preserve">Every event in the system follows this structure. No agent sends free text. Everything is structured, schema-validated, and HMAC-signed before hitting the bus.</w:t>
      </w:r>
    </w:p>
    <w:p>
      <w:pPr>
        <w:pBdr>
          <w:top w:val="single" w:color="B8D4EA" w:sz="2"/>
          <w:left w:val="thick" w:color="0072CE" w:sz="8"/>
          <w:bottom w:val="single" w:color="B8D4EA" w:sz="2"/>
          <w:right w:val="single" w:color="B8D4EA" w:sz="2"/>
        </w:pBdr>
        <w:shd w:fill="F4F6F8" w:val="clear"/>
        <w:spacing w:before="80" w:after="140"/>
        <w:ind w:left="180"/>
      </w:pPr>
      <w:r>
        <w:rPr>
          <w:rFonts w:ascii="Courier New" w:cs="Courier New" w:eastAsia="Courier New" w:hAnsi="Courier New"/>
          <w:color w:val="2C3E50"/>
          <w:sz w:val="18"/>
          <w:szCs w:val="18"/>
        </w:rPr>
        <w:t>{
  "event_id":     "evt-uuid-v4",
  "event_type":   "ANALYSIS_COMPLETE",
  "source_agent": "ANALYZER_AGENT",
  "job_id":       "sha256-abc123",
  "payload": {
    "brief_version":               3,
    "complexity_tier":             "COMPLEX",
    "manual_intervention_required": false,
    "awaiting_library_migration":  false
  },
  "audit_signature": "hmac-sha256-of-entire-event"
}</w:t>
      </w:r>
    </w:p>
    <w:p>
      <w:pPr>
        <w:spacing w:before="100" w:after="140"/>
        <w:jc w:val="both"/>
      </w:pPr>
      <w:r>
        <w:rPr>
          <w:rFonts w:ascii="Arial" w:cs="Arial" w:eastAsia="Arial" w:hAnsi="Arial"/>
          <w:color w:val="1A2332"/>
          <w:sz w:val="24"/>
          <w:szCs w:val="24"/>
        </w:rPr>
        <w:t xml:space="preserve">The payload is intentionally small — it contains references and summary metadata, not the actual Migration Brief. The full brief lives in the Migration State Store. The receiving agent reads it from there using the brief_version reference in the event. This keeps events lightweight and prevents secrets from appearing in event payloads.</w:t>
      </w:r>
    </w:p>
    <w:p>
      <w:pPr>
        <w:pStyle w:val="Heading2"/>
        <w:pBdr>
          <w:bottom w:val="single" w:color="B8D4EA" w:sz="4" w:space="4"/>
        </w:pBdr>
        <w:spacing w:before="320" w:after="160"/>
      </w:pPr>
      <w:r>
        <w:rPr>
          <w:rFonts w:ascii="Arial" w:cs="Arial" w:eastAsia="Arial" w:hAnsi="Arial"/>
          <w:b/>
          <w:bCs/>
          <w:color w:val="0072CE"/>
          <w:sz w:val="28"/>
          <w:szCs w:val="28"/>
        </w:rPr>
        <w:t xml:space="preserve">4.2 The Critical Handoffs — A Real Walkthrough</w:t>
      </w:r>
    </w:p>
    <w:p>
      <w:pPr>
        <w:spacing w:before="100" w:after="140"/>
        <w:jc w:val="both"/>
      </w:pPr>
      <w:r>
        <w:rPr>
          <w:rFonts w:ascii="Arial" w:cs="Arial" w:eastAsia="Arial" w:hAnsi="Arial"/>
          <w:color w:val="1A2332"/>
          <w:sz w:val="24"/>
          <w:szCs w:val="24"/>
        </w:rPr>
        <w:t xml:space="preserve">Here is exactly how a single job flows through the system, showing every event that is published and consumed.</w:t>
      </w:r>
    </w:p>
    <w:p>
      <w:pPr>
        <w:pStyle w:val="Heading3"/>
        <w:spacing w:before="240" w:after="100"/>
      </w:pPr>
      <w:r>
        <w:rPr>
          <w:rFonts w:ascii="Arial" w:cs="Arial" w:eastAsia="Arial" w:hAnsi="Arial"/>
          <w:b/>
          <w:bCs/>
          <w:color w:val="0A2540"/>
          <w:sz w:val="24"/>
          <w:szCs w:val="24"/>
        </w:rPr>
        <w:t xml:space="preserve">Handoff 1: Intake Agent publishes job fingerprint</w:t>
      </w:r>
    </w:p>
    <w:p>
      <w:pPr>
        <w:spacing w:before="100" w:after="140"/>
        <w:jc w:val="both"/>
      </w:pPr>
      <w:r>
        <w:rPr>
          <w:rFonts w:ascii="Arial" w:cs="Arial" w:eastAsia="Arial" w:hAnsi="Arial"/>
          <w:color w:val="1A2332"/>
          <w:sz w:val="24"/>
          <w:szCs w:val="24"/>
        </w:rPr>
        <w:t xml:space="preserve">After writing the canonical job record to the State Store, the Intake Agent publishes INTAKE_COMPLETE. The Orchestrator receives it and transitions the job from INTAKE_PENDING to INTAKE_COMPLETE, then triggers risk scoring.</w:t>
      </w:r>
    </w:p>
    <w:p>
      <w:pPr>
        <w:pStyle w:val="Heading3"/>
        <w:spacing w:before="240" w:after="100"/>
      </w:pPr>
      <w:r>
        <w:rPr>
          <w:rFonts w:ascii="Arial" w:cs="Arial" w:eastAsia="Arial" w:hAnsi="Arial"/>
          <w:b/>
          <w:bCs/>
          <w:color w:val="0A2540"/>
          <w:sz w:val="24"/>
          <w:szCs w:val="24"/>
        </w:rPr>
        <w:t xml:space="preserve">Handoff 2: Orchestrator routes to Analyzer</w:t>
      </w:r>
    </w:p>
    <w:p>
      <w:pPr>
        <w:spacing w:before="100" w:after="140"/>
        <w:jc w:val="both"/>
      </w:pPr>
      <w:r>
        <w:rPr>
          <w:rFonts w:ascii="Arial" w:cs="Arial" w:eastAsia="Arial" w:hAnsi="Arial"/>
          <w:color w:val="1A2332"/>
          <w:sz w:val="24"/>
          <w:szCs w:val="24"/>
        </w:rPr>
        <w:t xml:space="preserve">Once the wave is authorised and library dependencies are confirmed migrated, the Orchestrator publishes ANALYSIS_REQUESTED for each job. Azure Service Bus distributes these across 50 parallel Analyzer instances using competing consumers — whichever instance is free picks up the next message. The Orchestrator does not know or care which instance handles which job.</w:t>
      </w:r>
    </w:p>
    <w:p>
      <w:pPr>
        <w:pStyle w:val="Heading3"/>
        <w:spacing w:before="240" w:after="100"/>
      </w:pPr>
      <w:r>
        <w:rPr>
          <w:rFonts w:ascii="Arial" w:cs="Arial" w:eastAsia="Arial" w:hAnsi="Arial"/>
          <w:b/>
          <w:bCs/>
          <w:color w:val="0A2540"/>
          <w:sz w:val="24"/>
          <w:szCs w:val="24"/>
        </w:rPr>
        <w:t xml:space="preserve">Handoff 3: Analyzer publishes Migration Brief summary</w:t>
      </w:r>
    </w:p>
    <w:p>
      <w:pPr>
        <w:spacing w:before="100" w:after="140"/>
        <w:jc w:val="both"/>
      </w:pPr>
      <w:r>
        <w:rPr>
          <w:rFonts w:ascii="Arial" w:cs="Arial" w:eastAsia="Arial" w:hAnsi="Arial"/>
          <w:color w:val="1A2332"/>
          <w:sz w:val="24"/>
          <w:szCs w:val="24"/>
        </w:rPr>
        <w:t xml:space="preserve">The Analyzer writes the full brief to the State Store and publishes ANALYSIS_COMPLETE with a brief_version reference. If the event payload includes manual_intervention_required: true, the Orchestrator routes to the human review queue. If awaiting_library_migration: true, the job enters a waiting state until the library is migrated. If both are false, it publishes CONVERSION_REQUESTED immediately.</w:t>
      </w:r>
    </w:p>
    <w:p>
      <w:pPr>
        <w:pStyle w:val="Heading3"/>
        <w:spacing w:before="240" w:after="100"/>
      </w:pPr>
      <w:r>
        <w:rPr>
          <w:rFonts w:ascii="Arial" w:cs="Arial" w:eastAsia="Arial" w:hAnsi="Arial"/>
          <w:b/>
          <w:bCs/>
          <w:color w:val="0A2540"/>
          <w:sz w:val="24"/>
          <w:szCs w:val="24"/>
        </w:rPr>
        <w:t xml:space="preserve">Handoff 4: Converter to Validator — the feedback loop</w:t>
      </w:r>
    </w:p>
    <w:p>
      <w:pPr>
        <w:spacing w:before="100" w:after="140"/>
        <w:jc w:val="both"/>
      </w:pPr>
      <w:r>
        <w:rPr>
          <w:rFonts w:ascii="Arial" w:cs="Arial" w:eastAsia="Arial" w:hAnsi="Arial"/>
          <w:color w:val="1A2332"/>
          <w:sz w:val="24"/>
          <w:szCs w:val="24"/>
        </w:rPr>
        <w:t xml:space="preserve">The Converter publishes CONVERSION_COMPLETE. The Orchestrator reads the low_confidence_count from the payload and sets scrutiny_level: ELEVATED on the VALIDATION_REQUESTED event it sends to the Validator. The Validator does not configure its own scrutiny — the Orchestrator injects that context. This is how agents influence each other without direct communication.</w:t>
      </w:r>
    </w:p>
    <w:p>
      <w:pPr>
        <w:spacing w:before="100" w:after="140"/>
        <w:jc w:val="both"/>
      </w:pPr>
      <w:r>
        <w:rPr>
          <w:rFonts w:ascii="Arial" w:cs="Arial" w:eastAsia="Arial" w:hAnsi="Arial"/>
          <w:color w:val="1A2332"/>
          <w:sz w:val="24"/>
          <w:szCs w:val="24"/>
        </w:rPr>
        <w:t xml:space="preserve">If the Validator returns FAILED_FIXABLE, the Orchestrator publishes CONVERSION_REQUESTED back to the Converter — with the structured fix instructions injected into the event payload. The Converter treats this as a new conversion task with additional constraints. Maximum two automated fix cycles before the Orchestrator escalates to a human.</w:t>
      </w:r>
    </w:p>
    <w:p>
      <w:pPr>
        <w:pStyle w:val="Heading3"/>
        <w:spacing w:before="240" w:after="100"/>
      </w:pPr>
      <w:r>
        <w:rPr>
          <w:rFonts w:ascii="Arial" w:cs="Arial" w:eastAsia="Arial" w:hAnsi="Arial"/>
          <w:b/>
          <w:bCs/>
          <w:color w:val="0A2540"/>
          <w:sz w:val="24"/>
          <w:szCs w:val="24"/>
        </w:rPr>
        <w:t xml:space="preserve">Handoff 5: Human approval enters the event bus</w:t>
      </w:r>
    </w:p>
    <w:p>
      <w:pPr>
        <w:spacing w:before="100" w:after="140"/>
        <w:jc w:val="both"/>
      </w:pPr>
      <w:r>
        <w:rPr>
          <w:rFonts w:ascii="Arial" w:cs="Arial" w:eastAsia="Arial" w:hAnsi="Arial"/>
          <w:color w:val="1A2332"/>
          <w:sz w:val="24"/>
          <w:szCs w:val="24"/>
        </w:rPr>
        <w:t xml:space="preserve">When a human approves a deployment in the governance portal, the portal issues a cryptographically signed JWT and publishes HUMAN_APPROVAL_GRANTED to the event bus. The Orchestrator verifies the JWT signature, then publishes DEPLOYMENT_REQUESTED to the Deployment Agent — with the approval token included in the payload. The MCP Gateway rejects the create_azdo_pipeline tool call if this token is absent or expired. The human is not bypassed — they are part of the event chain.</w:t>
      </w:r>
    </w:p>
    <w:p>
      <w:pPr>
        <w:pStyle w:val="Heading3"/>
        <w:spacing w:before="240" w:after="100"/>
      </w:pPr>
      <w:r>
        <w:rPr>
          <w:rFonts w:ascii="Arial" w:cs="Arial" w:eastAsia="Arial" w:hAnsi="Arial"/>
          <w:b/>
          <w:bCs/>
          <w:color w:val="0A2540"/>
          <w:sz w:val="24"/>
          <w:szCs w:val="24"/>
        </w:rPr>
        <w:t xml:space="preserve">Handoff 6: Monitoring Agent activates on deployment success</w:t>
      </w:r>
    </w:p>
    <w:p>
      <w:pPr>
        <w:spacing w:before="100" w:after="140"/>
        <w:jc w:val="both"/>
      </w:pPr>
      <w:r>
        <w:rPr>
          <w:rFonts w:ascii="Arial" w:cs="Arial" w:eastAsia="Arial" w:hAnsi="Arial"/>
          <w:color w:val="1A2332"/>
          <w:sz w:val="24"/>
          <w:szCs w:val="24"/>
        </w:rPr>
        <w:t xml:space="preserve">After the Deployment Agent publishes DEPLOYMENT_SUCCESS, the Monitoring Agent registers the pipeline for AzDO webhook delivery. From that point, it is driven entirely by push events from AzDO — not polling. Every time a pipeline run completes, AzDO pushes a webhook event to the Monitoring Agent's Service Bus subscription. The agent compares metrics against the Jenkins baseline and publishes either HEALTHY_RUN or REGRESSION_DETECTED.</w:t>
      </w:r>
    </w:p>
    <w:p>
      <w:pPr>
        <w:pStyle w:val="Heading3"/>
        <w:spacing w:before="240" w:after="100"/>
      </w:pPr>
      <w:r>
        <w:rPr>
          <w:rFonts w:ascii="Arial" w:cs="Arial" w:eastAsia="Arial" w:hAnsi="Arial"/>
          <w:b/>
          <w:bCs/>
          <w:color w:val="0A2540"/>
          <w:sz w:val="24"/>
          <w:szCs w:val="24"/>
        </w:rPr>
        <w:t xml:space="preserve">Handoff 7: Context Snapshot Agent runs independently</w:t>
      </w:r>
    </w:p>
    <w:p>
      <w:pPr>
        <w:spacing w:before="100" w:after="140"/>
        <w:jc w:val="both"/>
      </w:pPr>
      <w:r>
        <w:rPr>
          <w:rFonts w:ascii="Arial" w:cs="Arial" w:eastAsia="Arial" w:hAnsi="Arial"/>
          <w:color w:val="1A2332"/>
          <w:sz w:val="24"/>
          <w:szCs w:val="24"/>
        </w:rPr>
        <w:t xml:space="preserve">Every night, regardless of what any other agent is doing, the Context Snapshot Agent recomputes the context hash for every in-flight job and compares it to the stored snapshot. If the Jenkinsfile has changed since analysis, it publishes DRIFT_DETECTED. The Orchestrator determines the job's current state and decides the appropriate response — which may be as drastic as invalidating a completed YAML and re-queuing the job for analysis from scratch.</w:t>
      </w:r>
    </w:p>
    <w:p>
      <w:pPr>
        <w:pStyle w:val="Heading2"/>
        <w:pBdr>
          <w:bottom w:val="single" w:color="B8D4EA" w:sz="4" w:space="4"/>
        </w:pBdr>
        <w:spacing w:before="320" w:after="160"/>
      </w:pPr>
      <w:r>
        <w:rPr>
          <w:rFonts w:ascii="Arial" w:cs="Arial" w:eastAsia="Arial" w:hAnsi="Arial"/>
          <w:b/>
          <w:bCs/>
          <w:color w:val="0072CE"/>
          <w:sz w:val="28"/>
          <w:szCs w:val="28"/>
        </w:rPr>
        <w:t xml:space="preserve">4.3 How Duplicate Processing Is Prevented</w:t>
      </w:r>
    </w:p>
    <w:p>
      <w:pPr>
        <w:spacing w:before="100" w:after="140"/>
        <w:jc w:val="both"/>
      </w:pPr>
      <w:r>
        <w:rPr>
          <w:rFonts w:ascii="Arial" w:cs="Arial" w:eastAsia="Arial" w:hAnsi="Arial"/>
          <w:color w:val="1A2332"/>
          <w:sz w:val="24"/>
          <w:szCs w:val="24"/>
        </w:rPr>
        <w:t xml:space="preserve">Azure Service Bus guarantees at-least-once delivery, meaning the same event can arrive twice. Four layers prevent this from causing duplicate work:</w:t>
      </w:r>
    </w:p>
    <w:p>
      <w:pPr>
        <w:pStyle w:val="ListParagraph"/>
        <w:numPr>
          <w:ilvl w:val="0"/>
          <w:numId w:val="3"/>
        </w:numPr>
        <w:spacing w:before="60" w:after="60"/>
      </w:pPr>
      <w:r>
        <w:rPr>
          <w:rFonts w:ascii="Arial" w:cs="Arial" w:eastAsia="Arial" w:hAnsi="Arial"/>
          <w:color w:val="1A2332"/>
          <w:sz w:val="24"/>
          <w:szCs w:val="24"/>
        </w:rPr>
        <w:t xml:space="preserve">Event ID deduplication cache in Redis (24-hour TTL). Same event_id arriving twice is silently discarded by the second consumer.</w:t>
      </w:r>
    </w:p>
    <w:p>
      <w:pPr>
        <w:pStyle w:val="ListParagraph"/>
        <w:numPr>
          <w:ilvl w:val="0"/>
          <w:numId w:val="3"/>
        </w:numPr>
        <w:spacing w:before="60" w:after="60"/>
      </w:pPr>
      <w:r>
        <w:rPr>
          <w:rFonts w:ascii="Arial" w:cs="Arial" w:eastAsia="Arial" w:hAnsi="Arial"/>
          <w:color w:val="1A2332"/>
          <w:sz w:val="24"/>
          <w:szCs w:val="24"/>
        </w:rPr>
        <w:t xml:space="preserve">State machine optimistic locking in Cosmos DB. A transition from ANALYSIS_QUEUED to ANALYSIS_COMPLETE is rejected if the job is already in ANALYSIS_COMPLETE. Duplicate processing results are discarded.</w:t>
      </w:r>
    </w:p>
    <w:p>
      <w:pPr>
        <w:pStyle w:val="ListParagraph"/>
        <w:numPr>
          <w:ilvl w:val="0"/>
          <w:numId w:val="3"/>
        </w:numPr>
        <w:spacing w:before="60" w:after="60"/>
      </w:pPr>
      <w:r>
        <w:rPr>
          <w:rFonts w:ascii="Arial" w:cs="Arial" w:eastAsia="Arial" w:hAnsi="Arial"/>
          <w:color w:val="1A2332"/>
          <w:sz w:val="24"/>
          <w:szCs w:val="24"/>
        </w:rPr>
        <w:t xml:space="preserve">Versioned outputs. If two Analyzer instances race and both produce a brief, both are stored as different versions. Only the version corresponding to the accepted state transition is used.</w:t>
      </w:r>
    </w:p>
    <w:p>
      <w:pPr>
        <w:pStyle w:val="ListParagraph"/>
        <w:numPr>
          <w:ilvl w:val="0"/>
          <w:numId w:val="3"/>
        </w:numPr>
        <w:spacing w:before="60" w:after="60"/>
      </w:pPr>
      <w:r>
        <w:rPr>
          <w:rFonts w:ascii="Arial" w:cs="Arial" w:eastAsia="Arial" w:hAnsi="Arial"/>
          <w:color w:val="1A2332"/>
          <w:sz w:val="24"/>
          <w:szCs w:val="24"/>
        </w:rPr>
        <w:t xml:space="preserve">MCP tool idempotency. The create_azdo_pipeline tool checks for an existing pipeline with the same content hash before creating. If found, it returns the existing ID rather than creating a duplicate.</w:t>
      </w:r>
    </w:p>
    <w:p>
      <w:pPr>
        <w:spacing w:before="0" w:after="0"/>
      </w:pPr>
      <w:r>
        <w:br w:type="page"/>
      </w:r>
    </w:p>
    <w:p>
      <w:pPr>
        <w:pStyle w:val="Heading1"/>
        <w:spacing w:before="400" w:after="200"/>
      </w:pPr>
      <w:r>
        <w:rPr>
          <w:rFonts w:ascii="Arial" w:cs="Arial" w:eastAsia="Arial" w:hAnsi="Arial"/>
          <w:b/>
          <w:bCs/>
          <w:color w:val="0A2540"/>
          <w:sz w:val="36"/>
          <w:szCs w:val="36"/>
        </w:rPr>
        <w:t xml:space="preserve">5. Why This Architecture Is the Best Design — and How Decoupling Works</w:t>
      </w:r>
    </w:p>
    <w:p>
      <w:pPr>
        <w:spacing w:before="100" w:after="140"/>
        <w:jc w:val="both"/>
      </w:pPr>
      <w:r>
        <w:rPr>
          <w:rFonts w:ascii="Arial" w:cs="Arial" w:eastAsia="Arial" w:hAnsi="Arial"/>
          <w:color w:val="1A2332"/>
          <w:sz w:val="24"/>
          <w:szCs w:val="24"/>
        </w:rPr>
        <w:t xml:space="preserve">Every architectural decision in this platform flows from one principle: in a regulated enterprise environment, the ability to explain what happened and why is not a nice-to-have. It is a legal and operational requirement. The decoupled, event-driven architecture is the only design that satisfies this requirement at 5,000-job scale.</w:t>
      </w:r>
    </w:p>
    <w:p>
      <w:pPr>
        <w:pStyle w:val="Heading2"/>
        <w:pBdr>
          <w:bottom w:val="single" w:color="B8D4EA" w:sz="4" w:space="4"/>
        </w:pBdr>
        <w:spacing w:before="320" w:after="160"/>
      </w:pPr>
      <w:r>
        <w:rPr>
          <w:rFonts w:ascii="Arial" w:cs="Arial" w:eastAsia="Arial" w:hAnsi="Arial"/>
          <w:b/>
          <w:bCs/>
          <w:color w:val="0072CE"/>
          <w:sz w:val="28"/>
          <w:szCs w:val="28"/>
        </w:rPr>
        <w:t xml:space="preserve">5.1 The Three Layers — The Inviolable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250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Cannot Contain</w:t>
            </w:r>
          </w:p>
        </w:tc>
        <w:tc>
          <w:tcPr>
            <w:tcW w:type="dxa" w:w="236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External Write Access</w:t>
            </w:r>
          </w:p>
        </w:tc>
      </w:tr>
      <w:tr>
        <w:tc>
          <w:tcPr>
            <w:tcW w:type="dxa" w:w="20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Reasoning</w:t>
            </w:r>
          </w:p>
        </w:tc>
        <w:tc>
          <w:tcPr>
            <w:tcW w:type="dxa" w:w="25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Analyzer, Converter, Shared Library Agent, Validator (partial)</w:t>
            </w:r>
          </w:p>
        </w:tc>
        <w:tc>
          <w:tcPr>
            <w:tcW w:type="dxa" w:w="25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Credentials, direct API calls, system state</w:t>
            </w:r>
          </w:p>
        </w:tc>
        <w:tc>
          <w:tcPr>
            <w:tcW w:type="dxa" w:w="23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None — ever</w:t>
            </w:r>
          </w:p>
        </w:tc>
      </w:tr>
      <w:tr>
        <w:tc>
          <w:tcPr>
            <w:tcW w:type="dxa" w:w="20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Orchestration</w:t>
            </w:r>
          </w:p>
        </w:tc>
        <w:tc>
          <w:tcPr>
            <w:tcW w:type="dxa" w:w="25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Orchestrator, Event Bus, State Machine, Human Gates</w:t>
            </w:r>
          </w:p>
        </w:tc>
        <w:tc>
          <w:tcPr>
            <w:tcW w:type="dxa" w:w="250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LLM reasoning, tool execution, credentials</w:t>
            </w:r>
          </w:p>
        </w:tc>
        <w:tc>
          <w:tcPr>
            <w:tcW w:type="dxa" w:w="236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Event Bus only</w:t>
            </w:r>
          </w:p>
        </w:tc>
      </w:tr>
      <w:tr>
        <w:tc>
          <w:tcPr>
            <w:tcW w:type="dxa" w:w="20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bCs/>
                <w:color w:val="1A2332"/>
                <w:sz w:val="20"/>
                <w:szCs w:val="20"/>
              </w:rPr>
              <w:t xml:space="preserve">Execution</w:t>
            </w:r>
          </w:p>
        </w:tc>
        <w:tc>
          <w:tcPr>
            <w:tcW w:type="dxa" w:w="25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Deployment Agent, Decommission Agent, Monitoring Agent, Intake Agent</w:t>
            </w:r>
          </w:p>
        </w:tc>
        <w:tc>
          <w:tcPr>
            <w:tcW w:type="dxa" w:w="250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LLM calls, routing decisions</w:t>
            </w:r>
          </w:p>
        </w:tc>
        <w:tc>
          <w:tcPr>
            <w:tcW w:type="dxa" w:w="236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Yes — via MCP only</w:t>
            </w:r>
          </w:p>
        </w:tc>
      </w:tr>
    </w:tbl>
    <w:p>
      <w:pPr>
        <w:spacing w:before="0" w:after="100"/>
      </w:pPr>
      <w:r>
        <w:rPr>
          <w:rFonts w:ascii="Arial" w:cs="Arial" w:eastAsia="Arial" w:hAnsi="Arial"/>
          <w:color w:val="1A2332"/>
          <w:sz w:val="24"/>
          <w:szCs w:val="24"/>
        </w:rPr>
        <w:t xml:space="preserve"/>
      </w:r>
    </w:p>
    <w:p>
      <w:pPr>
        <w:spacing w:before="100" w:after="140"/>
        <w:jc w:val="both"/>
      </w:pPr>
      <w:r>
        <w:rPr>
          <w:rFonts w:ascii="Arial" w:cs="Arial" w:eastAsia="Arial" w:hAnsi="Arial"/>
          <w:color w:val="1A2332"/>
          <w:sz w:val="24"/>
          <w:szCs w:val="24"/>
        </w:rPr>
        <w:t xml:space="preserve">The rule is absolute: no agent that contains LLM reasoning has write access to any external system. LLMs produce recommendations. Deterministic execution agents implement recommendations. These responsibilities must never coexist in the same process boundary.</w:t>
      </w:r>
    </w:p>
    <w:p>
      <w:pPr>
        <w:pStyle w:val="Heading2"/>
        <w:pBdr>
          <w:bottom w:val="single" w:color="B8D4EA" w:sz="4" w:space="4"/>
        </w:pBdr>
        <w:spacing w:before="320" w:after="160"/>
      </w:pPr>
      <w:r>
        <w:rPr>
          <w:rFonts w:ascii="Arial" w:cs="Arial" w:eastAsia="Arial" w:hAnsi="Arial"/>
          <w:b/>
          <w:bCs/>
          <w:color w:val="0072CE"/>
          <w:sz w:val="28"/>
          <w:szCs w:val="28"/>
        </w:rPr>
        <w:t xml:space="preserve">5.2 Why Decoupling Solves Five Enterprise-Scale Problems</w:t>
      </w:r>
    </w:p>
    <w:p>
      <w:pPr>
        <w:pStyle w:val="Heading3"/>
        <w:spacing w:before="240" w:after="100"/>
      </w:pPr>
      <w:r>
        <w:rPr>
          <w:rFonts w:ascii="Arial" w:cs="Arial" w:eastAsia="Arial" w:hAnsi="Arial"/>
          <w:b/>
          <w:bCs/>
          <w:color w:val="0A2540"/>
          <w:sz w:val="24"/>
          <w:szCs w:val="24"/>
        </w:rPr>
        <w:t xml:space="preserve">Problem 1: A bug in one agent should not stop all 5,000 jobs</w:t>
      </w:r>
    </w:p>
    <w:p>
      <w:pPr>
        <w:spacing w:before="100" w:after="140"/>
        <w:jc w:val="both"/>
      </w:pPr>
      <w:r>
        <w:rPr>
          <w:rFonts w:ascii="Arial" w:cs="Arial" w:eastAsia="Arial" w:hAnsi="Arial"/>
          <w:color w:val="1A2332"/>
          <w:sz w:val="24"/>
          <w:szCs w:val="24"/>
        </w:rPr>
        <w:t xml:space="preserve">In a tightly coupled system — where Agent A directly calls Agent B which directly calls Agent C — a failure in Agent B halts everything downstream. In the decoupled event-driven design, a Converter Agent crash leaves its job event in the Service Bus dead-letter queue. The Orchestrator detects the stall via SLA monitoring, retries on a healthy instance, and all other 4,999 jobs continue unaffected. The failed job does not contaminate the queue.</w:t>
      </w:r>
    </w:p>
    <w:p>
      <w:pPr>
        <w:pStyle w:val="Heading3"/>
        <w:spacing w:before="240" w:after="100"/>
      </w:pPr>
      <w:r>
        <w:rPr>
          <w:rFonts w:ascii="Arial" w:cs="Arial" w:eastAsia="Arial" w:hAnsi="Arial"/>
          <w:b/>
          <w:bCs/>
          <w:color w:val="0A2540"/>
          <w:sz w:val="24"/>
          <w:szCs w:val="24"/>
        </w:rPr>
        <w:t xml:space="preserve">Problem 2: The system must be restartable without data loss</w:t>
      </w:r>
    </w:p>
    <w:p>
      <w:pPr>
        <w:spacing w:before="100" w:after="140"/>
        <w:jc w:val="both"/>
      </w:pPr>
      <w:r>
        <w:rPr>
          <w:rFonts w:ascii="Arial" w:cs="Arial" w:eastAsia="Arial" w:hAnsi="Arial"/>
          <w:color w:val="1A2332"/>
          <w:sz w:val="24"/>
          <w:szCs w:val="24"/>
        </w:rPr>
        <w:t xml:space="preserve">In a coupled system, a process crash loses in-flight state. In this architecture, every job's state is committed to the Migration State Store before each event is published. If the entire Orchestrator process crashes and restarts, it replays from the last committed state. Every agent is stateless — it reads context from the State Store and event payload, does its work, writes output to the State Store, and publishes an event. Restart is always safe.</w:t>
      </w:r>
    </w:p>
    <w:p>
      <w:pPr>
        <w:pStyle w:val="Heading3"/>
        <w:spacing w:before="240" w:after="100"/>
      </w:pPr>
      <w:r>
        <w:rPr>
          <w:rFonts w:ascii="Arial" w:cs="Arial" w:eastAsia="Arial" w:hAnsi="Arial"/>
          <w:b/>
          <w:bCs/>
          <w:color w:val="0A2540"/>
          <w:sz w:val="24"/>
          <w:szCs w:val="24"/>
        </w:rPr>
        <w:t xml:space="preserve">Problem 3: Horizontal scaling cannot introduce race conditions</w:t>
      </w:r>
    </w:p>
    <w:p>
      <w:pPr>
        <w:spacing w:before="100" w:after="140"/>
        <w:jc w:val="both"/>
      </w:pPr>
      <w:r>
        <w:rPr>
          <w:rFonts w:ascii="Arial" w:cs="Arial" w:eastAsia="Arial" w:hAnsi="Arial"/>
          <w:color w:val="1A2332"/>
          <w:sz w:val="24"/>
          <w:szCs w:val="24"/>
        </w:rPr>
        <w:t xml:space="preserve">With 50 parallel Analyzer instances, naive scaling would cause the same job to be analyzed 50 times simultaneously. In this architecture, Azure Service Bus handles competing consumers — a message is locked when one consumer picks it up and unavailable to all others until either processed or the lock expires. Optimistic locking in Cosmos DB ensures that even if two instances complete analysis simultaneously, only one state transition succeeds. The other is discarded.</w:t>
      </w:r>
    </w:p>
    <w:p>
      <w:pPr>
        <w:pStyle w:val="Heading3"/>
        <w:spacing w:before="240" w:after="100"/>
      </w:pPr>
      <w:r>
        <w:rPr>
          <w:rFonts w:ascii="Arial" w:cs="Arial" w:eastAsia="Arial" w:hAnsi="Arial"/>
          <w:b/>
          <w:bCs/>
          <w:color w:val="0A2540"/>
          <w:sz w:val="24"/>
          <w:szCs w:val="24"/>
        </w:rPr>
        <w:t xml:space="preserve">Problem 4: Every decision must be auditable</w:t>
      </w:r>
    </w:p>
    <w:p>
      <w:pPr>
        <w:spacing w:before="100" w:after="140"/>
        <w:jc w:val="both"/>
      </w:pPr>
      <w:r>
        <w:rPr>
          <w:rFonts w:ascii="Arial" w:cs="Arial" w:eastAsia="Arial" w:hAnsi="Arial"/>
          <w:color w:val="1A2332"/>
          <w:sz w:val="24"/>
          <w:szCs w:val="24"/>
        </w:rPr>
        <w:t xml:space="preserve">In a tightly coupled system where Agent A calls Agent B directly, the only audit trail is what the engineers remembered to log. In the event-driven design, every event published to the bus is automatically written to the immutable audit log by the MCP Gateway before any agent processes it. The audit trail is not an afterthought — it is structurally guaranteed. You can replay the entire migration history for any job by reading its event sequence from the audit log.</w:t>
      </w:r>
    </w:p>
    <w:p>
      <w:pPr>
        <w:pStyle w:val="Heading3"/>
        <w:spacing w:before="240" w:after="100"/>
      </w:pPr>
      <w:r>
        <w:rPr>
          <w:rFonts w:ascii="Arial" w:cs="Arial" w:eastAsia="Arial" w:hAnsi="Arial"/>
          <w:b/>
          <w:bCs/>
          <w:color w:val="0A2540"/>
          <w:sz w:val="24"/>
          <w:szCs w:val="24"/>
        </w:rPr>
        <w:t xml:space="preserve">Problem 5: LLM non-determinism must be contained</w:t>
      </w:r>
    </w:p>
    <w:p>
      <w:pPr>
        <w:spacing w:before="100" w:after="140"/>
        <w:jc w:val="both"/>
      </w:pPr>
      <w:r>
        <w:rPr>
          <w:rFonts w:ascii="Arial" w:cs="Arial" w:eastAsia="Arial" w:hAnsi="Arial"/>
          <w:color w:val="1A2332"/>
          <w:sz w:val="24"/>
          <w:szCs w:val="24"/>
        </w:rPr>
        <w:t xml:space="preserve">LLMs do not always produce the same output for the same input. In a tightly coupled system, LLM non-determinism propagates downstream immediately — a slightly different Analyzer output changes the Converter input changes the YAML changes the deployed pipeline. In the decoupled design, every LLM output is a versioned document written to the State Store. The version that downstream agents receive is the one that the state machine transition accepted — not whichever LLM instance happened to finish first. Non-determinism is contained to the versioning layer.</w:t>
      </w:r>
    </w:p>
    <w:p>
      <w:pPr>
        <w:pStyle w:val="Heading2"/>
        <w:pBdr>
          <w:bottom w:val="single" w:color="B8D4EA" w:sz="4" w:space="4"/>
        </w:pBdr>
        <w:spacing w:before="320" w:after="160"/>
      </w:pPr>
      <w:r>
        <w:rPr>
          <w:rFonts w:ascii="Arial" w:cs="Arial" w:eastAsia="Arial" w:hAnsi="Arial"/>
          <w:b/>
          <w:bCs/>
          <w:color w:val="0072CE"/>
          <w:sz w:val="28"/>
          <w:szCs w:val="28"/>
        </w:rPr>
        <w:t xml:space="preserve">5.3 How MCP Makes Tool Execution Safe</w:t>
      </w:r>
    </w:p>
    <w:p>
      <w:pPr>
        <w:spacing w:before="100" w:after="140"/>
        <w:jc w:val="both"/>
      </w:pPr>
      <w:r>
        <w:rPr>
          <w:rFonts w:ascii="Arial" w:cs="Arial" w:eastAsia="Arial" w:hAnsi="Arial"/>
          <w:color w:val="1A2332"/>
          <w:sz w:val="24"/>
          <w:szCs w:val="24"/>
        </w:rPr>
        <w:t xml:space="preserve">All external API calls — to Jenkins, GitHub, Azure DevOps — go through MCP tool servers sitting behind the MCP Gateway. The gateway enforces a tool-agent authorization matrix at the network level: a Converter Agent cannot call create_azdo_pipeline even if it tries. The matrix is not enforced by agent self-policing — it is enforced by the infrastructure.</w:t>
      </w:r>
    </w:p>
    <w:p>
      <w:pPr>
        <w:pStyle w:val="ListParagraph"/>
        <w:numPr>
          <w:ilvl w:val="0"/>
          <w:numId w:val="2"/>
        </w:numPr>
        <w:spacing w:before="60" w:after="60"/>
      </w:pPr>
      <w:r>
        <w:rPr>
          <w:rFonts w:ascii="Arial" w:cs="Arial" w:eastAsia="Arial" w:hAnsi="Arial"/>
          <w:color w:val="1A2332"/>
          <w:sz w:val="24"/>
          <w:szCs w:val="24"/>
        </w:rPr>
        <w:t xml:space="preserve">Credentials are injected by the MCP Gateway. No agent ever holds or sees a credential value.</w:t>
      </w:r>
    </w:p>
    <w:p>
      <w:pPr>
        <w:pStyle w:val="ListParagraph"/>
        <w:numPr>
          <w:ilvl w:val="0"/>
          <w:numId w:val="2"/>
        </w:numPr>
        <w:spacing w:before="60" w:after="60"/>
      </w:pPr>
      <w:r>
        <w:rPr>
          <w:rFonts w:ascii="Arial" w:cs="Arial" w:eastAsia="Arial" w:hAnsi="Arial"/>
          <w:color w:val="1A2332"/>
          <w:sz w:val="24"/>
          <w:szCs w:val="24"/>
        </w:rPr>
        <w:t xml:space="preserve">Every tool call is logged by the Gateway before execution — not by the agent. The audit trail cannot be bypassed.</w:t>
      </w:r>
    </w:p>
    <w:p>
      <w:pPr>
        <w:pStyle w:val="ListParagraph"/>
        <w:numPr>
          <w:ilvl w:val="0"/>
          <w:numId w:val="2"/>
        </w:numPr>
        <w:spacing w:before="60" w:after="60"/>
      </w:pPr>
      <w:r>
        <w:rPr>
          <w:rFonts w:ascii="Arial" w:cs="Arial" w:eastAsia="Arial" w:hAnsi="Arial"/>
          <w:color w:val="1A2332"/>
          <w:sz w:val="24"/>
          <w:szCs w:val="24"/>
        </w:rPr>
        <w:t xml:space="preserve">Rate limiting is centralised in the Rate Limit Governor. No individual agent can saturate an external API.</w:t>
      </w:r>
    </w:p>
    <w:p>
      <w:pPr>
        <w:pStyle w:val="ListParagraph"/>
        <w:numPr>
          <w:ilvl w:val="0"/>
          <w:numId w:val="2"/>
        </w:numPr>
        <w:spacing w:before="60" w:after="60"/>
      </w:pPr>
      <w:r>
        <w:rPr>
          <w:rFonts w:ascii="Arial" w:cs="Arial" w:eastAsia="Arial" w:hAnsi="Arial"/>
          <w:color w:val="1A2332"/>
          <w:sz w:val="24"/>
          <w:szCs w:val="24"/>
        </w:rPr>
        <w:t xml:space="preserve">The kill switch at the Gateway disables all write-capable tool calls across all 14 agents with a single toggle — without restarting any agent.</w:t>
      </w:r>
    </w:p>
    <w:p>
      <w:pPr>
        <w:spacing w:before="0" w:after="100"/>
      </w:pPr>
      <w:r>
        <w:rPr>
          <w:rFonts w:ascii="Arial" w:cs="Arial" w:eastAsia="Arial" w:hAnsi="Arial"/>
          <w:color w:val="1A2332"/>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60A" w:sz="4"/>
              <w:left w:val="thick" w:color="D4860A" w:sz="12"/>
              <w:bottom w:val="single" w:color="D4860A" w:sz="4"/>
              <w:right w:val="single" w:color="D4860A" w:sz="4"/>
            </w:tcBorders>
            <w:shd w:fill="FFF3CD" w:val="clear"/>
            <w:tcMar>
              <w:top w:type="dxa" w:w="120"/>
              <w:left w:type="dxa" w:w="180"/>
              <w:bottom w:type="dxa" w:w="120"/>
              <w:right w:type="dxa" w:w="180"/>
            </w:tcMar>
          </w:tcPr>
          <w:p>
            <w:r>
              <w:rPr>
                <w:rFonts w:ascii="Arial" w:cs="Arial" w:eastAsia="Arial" w:hAnsi="Arial"/>
                <w:b/>
                <w:bCs/>
                <w:color w:val="D4860A"/>
                <w:sz w:val="22"/>
                <w:szCs w:val="22"/>
              </w:rPr>
              <w:t xml:space="preserve">The Kill Switch:  </w:t>
            </w:r>
            <w:r>
              <w:rPr>
                <w:rFonts w:ascii="Arial" w:cs="Arial" w:eastAsia="Arial" w:hAnsi="Arial"/>
                <w:color w:val="1A2332"/>
                <w:sz w:val="22"/>
                <w:szCs w:val="22"/>
              </w:rPr>
              <w:t xml:space="preserve">If a systematic bug is detected mid-wave, a single API Gateway toggle disables all write operations (create_azdo_pipeline, archive_jenkins_job) instantly. Agents continue to analyse and validate — read operations are unaffected. Events accumulate in the Service Bus. When the kill switch is lifted, processing resumes from exactly where it stopped. No data is lost. No manual cleanup is required.</w:t>
            </w:r>
          </w:p>
        </w:tc>
      </w:tr>
    </w:tbl>
    <w:p>
      <w:pPr>
        <w:spacing w:before="0" w:after="100"/>
      </w:pPr>
      <w:r>
        <w:rPr>
          <w:rFonts w:ascii="Arial" w:cs="Arial" w:eastAsia="Arial" w:hAnsi="Arial"/>
          <w:color w:val="1A2332"/>
          <w:sz w:val="24"/>
          <w:szCs w:val="24"/>
        </w:rPr>
        <w:t xml:space="preserve"/>
      </w:r>
    </w:p>
    <w:p>
      <w:pPr>
        <w:pStyle w:val="Heading2"/>
        <w:pBdr>
          <w:bottom w:val="single" w:color="B8D4EA" w:sz="4" w:space="4"/>
        </w:pBdr>
        <w:spacing w:before="320" w:after="160"/>
      </w:pPr>
      <w:r>
        <w:rPr>
          <w:rFonts w:ascii="Arial" w:cs="Arial" w:eastAsia="Arial" w:hAnsi="Arial"/>
          <w:b/>
          <w:bCs/>
          <w:color w:val="0072CE"/>
          <w:sz w:val="28"/>
          <w:szCs w:val="28"/>
        </w:rPr>
        <w:t xml:space="preserve">5.4 Why Fewer Agents Would Fail at Scale</w:t>
      </w:r>
    </w:p>
    <w:p>
      <w:pPr>
        <w:spacing w:before="100" w:after="140"/>
        <w:jc w:val="both"/>
      </w:pPr>
      <w:r>
        <w:rPr>
          <w:rFonts w:ascii="Arial" w:cs="Arial" w:eastAsia="Arial" w:hAnsi="Arial"/>
          <w:color w:val="1A2332"/>
          <w:sz w:val="24"/>
          <w:szCs w:val="24"/>
        </w:rPr>
        <w:t xml:space="preserve">A common objection is: 'can you not collapse this into 5 agents — Ingest, Analyse, Convert, Deploy, Monitor?' The answer is: yes, and it will fail. Here is exactly how.</w:t>
      </w:r>
    </w:p>
    <w:p>
      <w:pPr>
        <w:pStyle w:val="ListParagraph"/>
        <w:numPr>
          <w:ilvl w:val="0"/>
          <w:numId w:val="2"/>
        </w:numPr>
        <w:spacing w:before="60" w:after="60"/>
      </w:pPr>
      <w:r>
        <w:rPr>
          <w:rFonts w:ascii="Arial" w:cs="Arial" w:eastAsia="Arial" w:hAnsi="Arial"/>
          <w:color w:val="1A2332"/>
          <w:sz w:val="24"/>
          <w:szCs w:val="24"/>
        </w:rPr>
        <w:t xml:space="preserve">Without the Shared Library Agent, 400 Converter instances independently translate the same Groovy library 400 different ways. The 50th migration silently overwrites the 49th. You cannot detect the inconsistency.</w:t>
      </w:r>
    </w:p>
    <w:p>
      <w:pPr>
        <w:pStyle w:val="ListParagraph"/>
        <w:numPr>
          <w:ilvl w:val="0"/>
          <w:numId w:val="2"/>
        </w:numPr>
        <w:spacing w:before="60" w:after="60"/>
      </w:pPr>
      <w:r>
        <w:rPr>
          <w:rFonts w:ascii="Arial" w:cs="Arial" w:eastAsia="Arial" w:hAnsi="Arial"/>
          <w:color w:val="1A2332"/>
          <w:sz w:val="24"/>
          <w:szCs w:val="24"/>
        </w:rPr>
        <w:t xml:space="preserve">Without the Plugin Registry Agent, every Analyzer and Converter reasons independently about plugin mappings. You get N×M different answers for the same plugin across N analyzers and M converters. The inconsistency is invisible.</w:t>
      </w:r>
    </w:p>
    <w:p>
      <w:pPr>
        <w:pStyle w:val="ListParagraph"/>
        <w:numPr>
          <w:ilvl w:val="0"/>
          <w:numId w:val="2"/>
        </w:numPr>
        <w:spacing w:before="60" w:after="60"/>
      </w:pPr>
      <w:r>
        <w:rPr>
          <w:rFonts w:ascii="Arial" w:cs="Arial" w:eastAsia="Arial" w:hAnsi="Arial"/>
          <w:color w:val="1A2332"/>
          <w:sz w:val="24"/>
          <w:szCs w:val="24"/>
        </w:rPr>
        <w:t xml:space="preserve">Without the Rate Limit Governor, 50 concurrent Analyzer instances all receive a Jenkins HTTP 429 simultaneously and each starts its own exponential backoff timer. The uncoordinated timers fire simultaneously and produce a retry storm that saturates Jenkins for hours.</w:t>
      </w:r>
    </w:p>
    <w:p>
      <w:pPr>
        <w:pStyle w:val="ListParagraph"/>
        <w:numPr>
          <w:ilvl w:val="0"/>
          <w:numId w:val="2"/>
        </w:numPr>
        <w:spacing w:before="60" w:after="60"/>
      </w:pPr>
      <w:r>
        <w:rPr>
          <w:rFonts w:ascii="Arial" w:cs="Arial" w:eastAsia="Arial" w:hAnsi="Arial"/>
          <w:color w:val="1A2332"/>
          <w:sz w:val="24"/>
          <w:szCs w:val="24"/>
        </w:rPr>
        <w:t xml:space="preserve">Without the Context Snapshot Agent, a job modified in Month 3 is converted based on its Month 1 state and deployed as Month 1 behaviour in Month 5. The Monitoring Agent detects a regression but the root cause — that the analysis pre-dates the modification — is invisible.</w:t>
      </w:r>
    </w:p>
    <w:p>
      <w:pPr>
        <w:pStyle w:val="ListParagraph"/>
        <w:numPr>
          <w:ilvl w:val="0"/>
          <w:numId w:val="2"/>
        </w:numPr>
        <w:spacing w:before="60" w:after="60"/>
      </w:pPr>
      <w:r>
        <w:rPr>
          <w:rFonts w:ascii="Arial" w:cs="Arial" w:eastAsia="Arial" w:hAnsi="Arial"/>
          <w:color w:val="1A2332"/>
          <w:sz w:val="24"/>
          <w:szCs w:val="24"/>
        </w:rPr>
        <w:t xml:space="preserve">Without the Risk Scoring Agent, wave assignment is based on metadata heuristics alone. A critical-path job that deploys to 47 production systems gets assigned to Wave 1. One misconfiguration takes down production.</w:t>
      </w:r>
    </w:p>
    <w:p>
      <w:pPr>
        <w:spacing w:before="0" w:after="0"/>
      </w:pPr>
      <w:r>
        <w:br w:type="page"/>
      </w:r>
    </w:p>
    <w:p>
      <w:pPr>
        <w:pStyle w:val="Heading1"/>
        <w:spacing w:before="400" w:after="200"/>
      </w:pPr>
      <w:r>
        <w:rPr>
          <w:rFonts w:ascii="Arial" w:cs="Arial" w:eastAsia="Arial" w:hAnsi="Arial"/>
          <w:b/>
          <w:bCs/>
          <w:color w:val="0A2540"/>
          <w:sz w:val="36"/>
          <w:szCs w:val="36"/>
        </w:rPr>
        <w:t xml:space="preserve">6. Can Agents Learn From Previous Conversions?</w:t>
      </w:r>
    </w:p>
    <w:p>
      <w:pPr>
        <w:spacing w:before="100" w:after="140"/>
        <w:jc w:val="both"/>
      </w:pPr>
      <w:r>
        <w:rPr>
          <w:rFonts w:ascii="Arial" w:cs="Arial" w:eastAsia="Arial" w:hAnsi="Arial"/>
          <w:color w:val="1A2332"/>
          <w:sz w:val="24"/>
          <w:szCs w:val="24"/>
        </w:rPr>
        <w:t xml:space="preserve">LLMs have no memory between calls by default. Each Converter Agent invocation starts fresh. But you can build three levels of memory into the system that make agents progressively smarter as the migration proceeds.</w:t>
      </w:r>
    </w:p>
    <w:p>
      <w:pPr>
        <w:pStyle w:val="Heading3"/>
        <w:spacing w:before="240" w:after="100"/>
      </w:pPr>
      <w:r>
        <w:rPr>
          <w:rFonts w:ascii="Arial" w:cs="Arial" w:eastAsia="Arial" w:hAnsi="Arial"/>
          <w:b/>
          <w:bCs/>
          <w:color w:val="0A2540"/>
          <w:sz w:val="24"/>
          <w:szCs w:val="24"/>
        </w:rPr>
        <w:t xml:space="preserve">Level 1: In-Context Memory — Already Present</w:t>
      </w:r>
    </w:p>
    <w:p>
      <w:pPr>
        <w:spacing w:before="100" w:after="140"/>
        <w:jc w:val="both"/>
      </w:pPr>
      <w:r>
        <w:rPr>
          <w:rFonts w:ascii="Arial" w:cs="Arial" w:eastAsia="Arial" w:hAnsi="Arial"/>
          <w:color w:val="1A2332"/>
          <w:sz w:val="24"/>
          <w:szCs w:val="24"/>
        </w:rPr>
        <w:t xml:space="preserve">Every agent call receives the full Migration Brief, Conversion Manifest, and relevant prior decisions in its prompt context. The Converter working on Job 3,000 can receive the Conversion Manifest from a similar completed job as a reference example in its prompt — without any retraining.</w:t>
      </w:r>
    </w:p>
    <w:p>
      <w:pPr>
        <w:pStyle w:val="Heading3"/>
        <w:spacing w:before="240" w:after="100"/>
      </w:pPr>
      <w:r>
        <w:rPr>
          <w:rFonts w:ascii="Arial" w:cs="Arial" w:eastAsia="Arial" w:hAnsi="Arial"/>
          <w:b/>
          <w:bCs/>
          <w:color w:val="0A2540"/>
          <w:sz w:val="24"/>
          <w:szCs w:val="24"/>
        </w:rPr>
        <w:t xml:space="preserve">Level 2: Retrieval-Augmented Memory — What You Should Build After Wave 1</w:t>
      </w:r>
    </w:p>
    <w:p>
      <w:pPr>
        <w:spacing w:before="100" w:after="140"/>
        <w:jc w:val="both"/>
      </w:pPr>
      <w:r>
        <w:rPr>
          <w:rFonts w:ascii="Arial" w:cs="Arial" w:eastAsia="Arial" w:hAnsi="Arial"/>
          <w:color w:val="1A2332"/>
          <w:sz w:val="24"/>
          <w:szCs w:val="24"/>
        </w:rPr>
        <w:t xml:space="preserve">A dedicated Conversion Memory Store (Azure AI Search with vector indexing) stores every completed Conversion Manifest as a searchable embedding. Before each Converter call, a retrieval step finds the 3–5 most similar past jobs by embedding the current Migration Brief and running nearest-neighbour search. Those Manifests are injected into the Converter prompt as few-shot examples.</w:t>
      </w:r>
    </w:p>
    <w:p>
      <w:pPr>
        <w:spacing w:before="100" w:after="140"/>
        <w:jc w:val="both"/>
      </w:pPr>
      <w:r>
        <w:rPr>
          <w:rFonts w:ascii="Arial" w:cs="Arial" w:eastAsia="Arial" w:hAnsi="Arial"/>
          <w:color w:val="1A2332"/>
          <w:sz w:val="24"/>
          <w:szCs w:val="24"/>
        </w:rPr>
        <w:t xml:space="preserve">The feedback loop: Job 1 uses a jenkins-deploy-orchestrator plugin incorrectly. A human fixes it. The corrected Manifest is indexed. Job 500, with a similar profile, retrieves Job 1's Manifest. The Converter applies the correct mapping automatically. No retraining required. The system compounds — by Wave 3, the Converter has hundreds of relevant examples and the automation success rate climbs from the 68–75% baseline toward the 82–87% ceiling.</w:t>
      </w:r>
    </w:p>
    <w:p>
      <w:pPr>
        <w:pStyle w:val="Heading3"/>
        <w:spacing w:before="240" w:after="100"/>
      </w:pPr>
      <w:r>
        <w:rPr>
          <w:rFonts w:ascii="Arial" w:cs="Arial" w:eastAsia="Arial" w:hAnsi="Arial"/>
          <w:b/>
          <w:bCs/>
          <w:color w:val="0A2540"/>
          <w:sz w:val="24"/>
          <w:szCs w:val="24"/>
        </w:rPr>
        <w:t xml:space="preserve">Level 3: Structured Learning via Registry Updates</w:t>
      </w:r>
    </w:p>
    <w:p>
      <w:pPr>
        <w:spacing w:before="100" w:after="140"/>
        <w:jc w:val="both"/>
      </w:pPr>
      <w:r>
        <w:rPr>
          <w:rFonts w:ascii="Arial" w:cs="Arial" w:eastAsia="Arial" w:hAnsi="Arial"/>
          <w:color w:val="1A2332"/>
          <w:sz w:val="24"/>
          <w:szCs w:val="24"/>
        </w:rPr>
        <w:t xml:space="preserve">Every time a human fixes a Converter output, a lightweight Fix Analyser Agent detects whether the fix represents a generalisable pattern. If a plugin was mapped to X and the human corrected it to Y, the agent proposes a registry update — surfaced in the governance portal for platform engineer ratification. One click updates the Plugin Registry. All future jobs referencing that plugin get the correct mapping automatically, with no LLM involvement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2CE" w:sz="4"/>
              <w:left w:val="thick" w:color="0072CE" w:sz="12"/>
              <w:bottom w:val="single" w:color="0072CE" w:sz="4"/>
              <w:right w:val="single" w:color="0072CE" w:sz="4"/>
            </w:tcBorders>
            <w:shd w:fill="E8F4FD" w:val="clear"/>
            <w:tcMar>
              <w:top w:type="dxa" w:w="120"/>
              <w:left w:type="dxa" w:w="180"/>
              <w:bottom w:type="dxa" w:w="120"/>
              <w:right w:type="dxa" w:w="180"/>
            </w:tcMar>
          </w:tcPr>
          <w:p>
            <w:r>
              <w:rPr>
                <w:rFonts w:ascii="Arial" w:cs="Arial" w:eastAsia="Arial" w:hAnsi="Arial"/>
                <w:b/>
                <w:bCs/>
                <w:color w:val="0072CE"/>
                <w:sz w:val="22"/>
                <w:szCs w:val="22"/>
              </w:rPr>
              <w:t xml:space="preserve">What Memory Cannot Do:  </w:t>
            </w:r>
            <w:r>
              <w:rPr>
                <w:rFonts w:ascii="Arial" w:cs="Arial" w:eastAsia="Arial" w:hAnsi="Arial"/>
                <w:color w:val="1A2332"/>
                <w:sz w:val="22"/>
                <w:szCs w:val="22"/>
              </w:rPr>
              <w:t xml:space="preserve">These memory mechanisms do not retrain the underlying LLM. The model weights do not change. What changes is the context the model receives at inference time — which is just as effective for this use case and far safer in an enterprise context. Fine-tuning an LLM on proprietary Jenkins configurations creates security, compliance, and maintenance problems that outweigh any quality benefit.</w:t>
            </w:r>
          </w:p>
        </w:tc>
      </w:tr>
    </w:tbl>
    <w:p>
      <w:pPr>
        <w:spacing w:before="0" w:after="100"/>
      </w:pPr>
      <w:r>
        <w:rPr>
          <w:rFonts w:ascii="Arial" w:cs="Arial" w:eastAsia="Arial" w:hAnsi="Arial"/>
          <w:color w:val="1A2332"/>
          <w:sz w:val="24"/>
          <w:szCs w:val="24"/>
        </w:rPr>
        <w:t xml:space="preserve"/>
      </w:r>
    </w:p>
    <w:p>
      <w:pPr>
        <w:pStyle w:val="Heading1"/>
        <w:spacing w:before="400" w:after="200"/>
      </w:pPr>
      <w:r>
        <w:rPr>
          <w:rFonts w:ascii="Arial" w:cs="Arial" w:eastAsia="Arial" w:hAnsi="Arial"/>
          <w:b/>
          <w:bCs/>
          <w:color w:val="0A2540"/>
          <w:sz w:val="36"/>
          <w:szCs w:val="36"/>
        </w:rPr>
        <w:t xml:space="preserve">7. What to Realistically Expect</w:t>
      </w:r>
    </w:p>
    <w:p>
      <w:pPr>
        <w:spacing w:before="100" w:after="140"/>
        <w:jc w:val="both"/>
      </w:pPr>
      <w:r>
        <w:rPr>
          <w:rFonts w:ascii="Arial" w:cs="Arial" w:eastAsia="Arial" w:hAnsi="Arial"/>
          <w:color w:val="1A2332"/>
          <w:sz w:val="24"/>
          <w:szCs w:val="24"/>
        </w:rPr>
        <w:t xml:space="preserve">When stakeholders ask 'what percentage of jobs will be fully automated?', the honest answer depends entirely on how you define 'fully automated'. There are three levels:</w:t>
      </w:r>
    </w:p>
    <w:p>
      <w:pPr>
        <w:pStyle w:val="ListParagraph"/>
        <w:numPr>
          <w:ilvl w:val="0"/>
          <w:numId w:val="2"/>
        </w:numPr>
        <w:spacing w:before="60" w:after="60"/>
      </w:pPr>
      <w:r>
        <w:rPr>
          <w:rFonts w:ascii="Arial" w:cs="Arial" w:eastAsia="Arial" w:hAnsi="Arial"/>
          <w:color w:val="1A2332"/>
          <w:sz w:val="24"/>
          <w:szCs w:val="24"/>
        </w:rPr>
        <w:t xml:space="preserve">Level 1 — Syntactically valid YAML generated: the pipeline can be imported into AzDO without errors. Easy bar.</w:t>
      </w:r>
    </w:p>
    <w:p>
      <w:pPr>
        <w:pStyle w:val="ListParagraph"/>
        <w:numPr>
          <w:ilvl w:val="0"/>
          <w:numId w:val="2"/>
        </w:numPr>
        <w:spacing w:before="60" w:after="60"/>
      </w:pPr>
      <w:r>
        <w:rPr>
          <w:rFonts w:ascii="Arial" w:cs="Arial" w:eastAsia="Arial" w:hAnsi="Arial"/>
          <w:color w:val="1A2332"/>
          <w:sz w:val="24"/>
          <w:szCs w:val="24"/>
        </w:rPr>
        <w:t xml:space="preserve">Level 2 — Functionally equivalent pipeline: the AzDO pipeline does the same things as the Jenkins pipeline — same build steps, same artefacts, same branch conditions. The meaningful bar.</w:t>
      </w:r>
    </w:p>
    <w:p>
      <w:pPr>
        <w:pStyle w:val="ListParagraph"/>
        <w:numPr>
          <w:ilvl w:val="0"/>
          <w:numId w:val="2"/>
        </w:numPr>
        <w:spacing w:before="60" w:after="60"/>
      </w:pPr>
      <w:r>
        <w:rPr>
          <w:rFonts w:ascii="Arial" w:cs="Arial" w:eastAsia="Arial" w:hAnsi="Arial"/>
          <w:color w:val="1A2332"/>
          <w:sz w:val="24"/>
          <w:szCs w:val="24"/>
        </w:rPr>
        <w:t xml:space="preserve">Level 3 — Operationally validated pipeline: passes shadow deployment, produces identical artefacts, runs cleanly for 30 days. The production bar.</w:t>
      </w:r>
    </w:p>
    <w:p>
      <w:pPr>
        <w:spacing w:before="0" w:after="100"/>
      </w:pPr>
      <w:r>
        <w:rPr>
          <w:rFonts w:ascii="Arial" w:cs="Arial" w:eastAsia="Arial" w:hAnsi="Arial"/>
          <w:color w:val="1A2332"/>
          <w:sz w:val="24"/>
          <w:szCs w:val="24"/>
        </w:rPr>
        <w:t xml:space="preserve"/>
      </w:r>
    </w:p>
    <w:p>
      <w:pPr>
        <w:spacing w:before="100" w:after="140"/>
        <w:jc w:val="both"/>
      </w:pPr>
      <w:r>
        <w:rPr>
          <w:rFonts w:ascii="Arial" w:cs="Arial" w:eastAsia="Arial" w:hAnsi="Arial"/>
          <w:color w:val="1A2332"/>
          <w:sz w:val="24"/>
          <w:szCs w:val="24"/>
        </w:rPr>
        <w:t xml:space="preserve">When vendors say '90% automated migration', they typically mean Level 1. When enterprises discover this, they are unhappy. Design for Level 2 as the automation target and Level 3 as the acceptance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80"/>
        <w:gridCol w:w="2280"/>
        <w:gridCol w:w="1680"/>
      </w:tblGrid>
      <w:tr>
        <w:tc>
          <w:tcPr>
            <w:tcW w:type="dxa" w:w="312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8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Fully Automated (L2)</w:t>
            </w:r>
          </w:p>
        </w:tc>
        <w:tc>
          <w:tcPr>
            <w:tcW w:type="dxa" w:w="228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Human-Assisted</w:t>
            </w:r>
          </w:p>
        </w:tc>
        <w:tc>
          <w:tcPr>
            <w:tcW w:type="dxa" w:w="1680"/>
            <w:tcBorders>
              <w:top w:val="single" w:color="B8D4EA" w:sz="1"/>
              <w:left w:val="single" w:color="B8D4EA" w:sz="1"/>
              <w:bottom w:val="single" w:color="B8D4EA" w:sz="1"/>
              <w:right w:val="single" w:color="B8D4EA"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Manual</w:t>
            </w:r>
          </w:p>
        </w:tc>
      </w:tr>
      <w:tr>
        <w:tc>
          <w:tcPr>
            <w:tcW w:type="dxa" w:w="312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Simple builds (Maven/Gradle, no custom plugins)</w:t>
            </w:r>
          </w:p>
        </w:tc>
        <w:tc>
          <w:tcPr>
            <w:tcW w:type="dxa" w:w="228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88–92%</w:t>
            </w:r>
          </w:p>
        </w:tc>
        <w:tc>
          <w:tcPr>
            <w:tcW w:type="dxa" w:w="228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6–9%</w:t>
            </w:r>
          </w:p>
        </w:tc>
        <w:tc>
          <w:tcPr>
            <w:tcW w:type="dxa" w:w="168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2–3%</w:t>
            </w:r>
          </w:p>
        </w:tc>
      </w:tr>
      <w:tr>
        <w:tc>
          <w:tcPr>
            <w:tcW w:type="dxa" w:w="312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Standard CI jobs (all plugins mapped)</w:t>
            </w:r>
          </w:p>
        </w:tc>
        <w:tc>
          <w:tcPr>
            <w:tcW w:type="dxa" w:w="228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75–83%</w:t>
            </w:r>
          </w:p>
        </w:tc>
        <w:tc>
          <w:tcPr>
            <w:tcW w:type="dxa" w:w="228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12–18%</w:t>
            </w:r>
          </w:p>
        </w:tc>
        <w:tc>
          <w:tcPr>
            <w:tcW w:type="dxa" w:w="168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5–7%</w:t>
            </w:r>
          </w:p>
        </w:tc>
      </w:tr>
      <w:tr>
        <w:tc>
          <w:tcPr>
            <w:tcW w:type="dxa" w:w="312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Complex CI/CD (unmapped plugins, parallel stages)</w:t>
            </w:r>
          </w:p>
        </w:tc>
        <w:tc>
          <w:tcPr>
            <w:tcW w:type="dxa" w:w="228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55–65%</w:t>
            </w:r>
          </w:p>
        </w:tc>
        <w:tc>
          <w:tcPr>
            <w:tcW w:type="dxa" w:w="228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22–30%</w:t>
            </w:r>
          </w:p>
        </w:tc>
        <w:tc>
          <w:tcPr>
            <w:tcW w:type="dxa" w:w="1680"/>
            <w:tcBorders>
              <w:top w:val="single" w:color="B8D4EA" w:sz="1"/>
              <w:left w:val="single" w:color="B8D4EA" w:sz="1"/>
              <w:bottom w:val="single" w:color="B8D4EA" w:sz="1"/>
              <w:right w:val="single" w:color="B8D4EA" w:sz="1"/>
            </w:tcBorders>
            <w:shd w:fill="E8F4FD" w:val="clear"/>
            <w:tcMar>
              <w:top w:type="dxa" w:w="80"/>
              <w:left w:type="dxa" w:w="120"/>
              <w:bottom w:type="dxa" w:w="80"/>
              <w:right w:type="dxa" w:w="120"/>
            </w:tcMar>
          </w:tcPr>
          <w:p>
            <w:r>
              <w:rPr>
                <w:rFonts w:ascii="Arial" w:cs="Arial" w:eastAsia="Arial" w:hAnsi="Arial"/>
                <w:b w:val="false"/>
                <w:bCs w:val="false"/>
                <w:color w:val="1A2332"/>
                <w:sz w:val="20"/>
                <w:szCs w:val="20"/>
              </w:rPr>
              <w:t xml:space="preserve">10–15%</w:t>
            </w:r>
          </w:p>
        </w:tc>
      </w:tr>
      <w:tr>
        <w:tc>
          <w:tcPr>
            <w:tcW w:type="dxa" w:w="312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Scripted pipelines (arbitrary Groovy)</w:t>
            </w:r>
          </w:p>
        </w:tc>
        <w:tc>
          <w:tcPr>
            <w:tcW w:type="dxa" w:w="228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40–52%</w:t>
            </w:r>
          </w:p>
        </w:tc>
        <w:tc>
          <w:tcPr>
            <w:tcW w:type="dxa" w:w="228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28–35%</w:t>
            </w:r>
          </w:p>
        </w:tc>
        <w:tc>
          <w:tcPr>
            <w:tcW w:type="dxa" w:w="1680"/>
            <w:tcBorders>
              <w:top w:val="single" w:color="B8D4EA" w:sz="1"/>
              <w:left w:val="single" w:color="B8D4EA" w:sz="1"/>
              <w:bottom w:val="single" w:color="B8D4EA" w:sz="1"/>
              <w:right w:val="single" w:color="B8D4EA" w:sz="1"/>
            </w:tcBorders>
            <w:shd w:fill="FFFFFF" w:val="clear"/>
            <w:tcMar>
              <w:top w:type="dxa" w:w="80"/>
              <w:left w:type="dxa" w:w="120"/>
              <w:bottom w:type="dxa" w:w="80"/>
              <w:right w:type="dxa" w:w="120"/>
            </w:tcMar>
          </w:tcPr>
          <w:p>
            <w:r>
              <w:rPr>
                <w:rFonts w:ascii="Arial" w:cs="Arial" w:eastAsia="Arial" w:hAnsi="Arial"/>
                <w:b w:val="false"/>
                <w:bCs w:val="false"/>
                <w:color w:val="1A2332"/>
                <w:sz w:val="20"/>
                <w:szCs w:val="20"/>
              </w:rPr>
              <w:t xml:space="preserve">18–25%</w:t>
            </w:r>
          </w:p>
        </w:tc>
      </w:tr>
      <w:tr>
        <w:tc>
          <w:tcPr>
            <w:tcW w:type="dxa" w:w="3120"/>
            <w:tcBorders>
              <w:top w:val="single" w:color="B8D4EA" w:sz="1"/>
              <w:left w:val="single" w:color="B8D4EA" w:sz="1"/>
              <w:bottom w:val="single" w:color="B8D4EA" w:sz="1"/>
              <w:right w:val="single" w:color="B8D4EA" w:sz="1"/>
            </w:tcBorders>
            <w:shd w:fill="FFF3CD" w:val="clear"/>
            <w:tcMar>
              <w:top w:type="dxa" w:w="80"/>
              <w:left w:type="dxa" w:w="120"/>
              <w:bottom w:type="dxa" w:w="80"/>
              <w:right w:type="dxa" w:w="120"/>
            </w:tcMar>
          </w:tcPr>
          <w:p>
            <w:r>
              <w:rPr>
                <w:rFonts w:ascii="Arial" w:cs="Arial" w:eastAsia="Arial" w:hAnsi="Arial"/>
                <w:b/>
                <w:bCs/>
                <w:color w:val="1A2332"/>
                <w:sz w:val="20"/>
                <w:szCs w:val="20"/>
              </w:rPr>
              <w:t xml:space="preserve">WEIGHTED AVERAGE — 5,000 jobs</w:t>
            </w:r>
          </w:p>
        </w:tc>
        <w:tc>
          <w:tcPr>
            <w:tcW w:type="dxa" w:w="2280"/>
            <w:tcBorders>
              <w:top w:val="single" w:color="B8D4EA" w:sz="1"/>
              <w:left w:val="single" w:color="B8D4EA" w:sz="1"/>
              <w:bottom w:val="single" w:color="B8D4EA" w:sz="1"/>
              <w:right w:val="single" w:color="B8D4EA" w:sz="1"/>
            </w:tcBorders>
            <w:shd w:fill="FFF3CD" w:val="clear"/>
            <w:tcMar>
              <w:top w:type="dxa" w:w="80"/>
              <w:left w:type="dxa" w:w="120"/>
              <w:bottom w:type="dxa" w:w="80"/>
              <w:right w:type="dxa" w:w="120"/>
            </w:tcMar>
          </w:tcPr>
          <w:p>
            <w:r>
              <w:rPr>
                <w:rFonts w:ascii="Arial" w:cs="Arial" w:eastAsia="Arial" w:hAnsi="Arial"/>
                <w:b w:val="false"/>
                <w:bCs w:val="false"/>
                <w:color w:val="1A2332"/>
                <w:sz w:val="20"/>
                <w:szCs w:val="20"/>
              </w:rPr>
              <w:t xml:space="preserve">68–75%</w:t>
            </w:r>
          </w:p>
        </w:tc>
        <w:tc>
          <w:tcPr>
            <w:tcW w:type="dxa" w:w="2280"/>
            <w:tcBorders>
              <w:top w:val="single" w:color="B8D4EA" w:sz="1"/>
              <w:left w:val="single" w:color="B8D4EA" w:sz="1"/>
              <w:bottom w:val="single" w:color="B8D4EA" w:sz="1"/>
              <w:right w:val="single" w:color="B8D4EA" w:sz="1"/>
            </w:tcBorders>
            <w:shd w:fill="FFF3CD" w:val="clear"/>
            <w:tcMar>
              <w:top w:type="dxa" w:w="80"/>
              <w:left w:type="dxa" w:w="120"/>
              <w:bottom w:type="dxa" w:w="80"/>
              <w:right w:type="dxa" w:w="120"/>
            </w:tcMar>
          </w:tcPr>
          <w:p>
            <w:r>
              <w:rPr>
                <w:rFonts w:ascii="Arial" w:cs="Arial" w:eastAsia="Arial" w:hAnsi="Arial"/>
                <w:b w:val="false"/>
                <w:bCs w:val="false"/>
                <w:color w:val="1A2332"/>
                <w:sz w:val="20"/>
                <w:szCs w:val="20"/>
              </w:rPr>
              <w:t xml:space="preserve">18–22%</w:t>
            </w:r>
          </w:p>
        </w:tc>
        <w:tc>
          <w:tcPr>
            <w:tcW w:type="dxa" w:w="1680"/>
            <w:tcBorders>
              <w:top w:val="single" w:color="B8D4EA" w:sz="1"/>
              <w:left w:val="single" w:color="B8D4EA" w:sz="1"/>
              <w:bottom w:val="single" w:color="B8D4EA" w:sz="1"/>
              <w:right w:val="single" w:color="B8D4EA" w:sz="1"/>
            </w:tcBorders>
            <w:shd w:fill="FFF3CD" w:val="clear"/>
            <w:tcMar>
              <w:top w:type="dxa" w:w="80"/>
              <w:left w:type="dxa" w:w="120"/>
              <w:bottom w:type="dxa" w:w="80"/>
              <w:right w:type="dxa" w:w="120"/>
            </w:tcMar>
          </w:tcPr>
          <w:p>
            <w:r>
              <w:rPr>
                <w:rFonts w:ascii="Arial" w:cs="Arial" w:eastAsia="Arial" w:hAnsi="Arial"/>
                <w:b w:val="false"/>
                <w:bCs w:val="false"/>
                <w:color w:val="1A2332"/>
                <w:sz w:val="20"/>
                <w:szCs w:val="20"/>
              </w:rPr>
              <w:t xml:space="preserve">7–10%</w:t>
            </w:r>
          </w:p>
        </w:tc>
      </w:tr>
    </w:tbl>
    <w:p>
      <w:pPr>
        <w:spacing w:before="0" w:after="100"/>
      </w:pPr>
      <w:r>
        <w:rPr>
          <w:rFonts w:ascii="Arial" w:cs="Arial" w:eastAsia="Arial" w:hAnsi="Arial"/>
          <w:color w:val="1A2332"/>
          <w:sz w:val="24"/>
          <w:szCs w:val="24"/>
        </w:rPr>
        <w:t xml:space="preserve"/>
      </w:r>
    </w:p>
    <w:p>
      <w:pPr>
        <w:spacing w:before="100" w:after="140"/>
        <w:jc w:val="both"/>
      </w:pPr>
      <w:r>
        <w:rPr>
          <w:rFonts w:ascii="Arial" w:cs="Arial" w:eastAsia="Arial" w:hAnsi="Arial"/>
          <w:color w:val="1A2332"/>
          <w:sz w:val="24"/>
          <w:szCs w:val="24"/>
        </w:rPr>
        <w:t xml:space="preserve">Three investments lift the ceiling: high-quality shared library migration (+5–8 points), complete plugin registry before Wave 1 (+3–5 points), and a Wave 0 feedback loop that fixes systematic Converter errors before they reach 4,800 more jobs (+2–4 points). With all three, the realistic ceiling is 82–87% Level-2 automation.</w:t>
      </w:r>
    </w:p>
    <w:p>
      <w:pPr>
        <w:spacing w:before="100" w:after="140"/>
        <w:jc w:val="both"/>
      </w:pPr>
      <w:r>
        <w:rPr>
          <w:rFonts w:ascii="Arial" w:cs="Arial" w:eastAsia="Arial" w:hAnsi="Arial"/>
          <w:color w:val="1A2332"/>
          <w:sz w:val="24"/>
          <w:szCs w:val="24"/>
        </w:rPr>
        <w:t xml:space="preserve">The remaining 13–18% are genuinely hard cases — custom DSLs with no AzDO equivalent, fully dynamic pipeline generation, custom plugins that have no mapping. These are not failures of the LLM. They represent genuine semantic gaps between the Jenkins and AzDO models that no automated system can bridge without a human decision about intent.</w:t>
      </w:r>
    </w:p>
    <w:p>
      <w:pPr>
        <w:spacing w:before="0" w:after="0"/>
      </w:pPr>
      <w:r>
        <w:br w:type="page"/>
      </w:r>
    </w:p>
    <w:p>
      <w:pPr>
        <w:pStyle w:val="Heading1"/>
        <w:spacing w:before="400" w:after="200"/>
      </w:pPr>
      <w:r>
        <w:rPr>
          <w:rFonts w:ascii="Arial" w:cs="Arial" w:eastAsia="Arial" w:hAnsi="Arial"/>
          <w:b/>
          <w:bCs/>
          <w:color w:val="0A2540"/>
          <w:sz w:val="36"/>
          <w:szCs w:val="36"/>
        </w:rPr>
        <w:t xml:space="preserve">8. Conclusion: Why This Is the Only Viable Architecture at Scale</w:t>
      </w:r>
    </w:p>
    <w:p>
      <w:pPr>
        <w:spacing w:before="100" w:after="140"/>
        <w:jc w:val="both"/>
      </w:pPr>
      <w:r>
        <w:rPr>
          <w:rFonts w:ascii="Arial" w:cs="Arial" w:eastAsia="Arial" w:hAnsi="Arial"/>
          <w:color w:val="1A2332"/>
          <w:sz w:val="24"/>
          <w:szCs w:val="24"/>
        </w:rPr>
        <w:t xml:space="preserve">The multi-agent, event-driven, MCP-gated architecture described here is not the simplest possible design for migrating Jenkins jobs to Azure DevOps. It is the architecture that is safe, auditable, and governable at 5,000-job scale in a regulated organisation.</w:t>
      </w:r>
    </w:p>
    <w:p>
      <w:pPr>
        <w:spacing w:before="100" w:after="140"/>
        <w:jc w:val="both"/>
      </w:pPr>
      <w:r>
        <w:rPr>
          <w:rFonts w:ascii="Arial" w:cs="Arial" w:eastAsia="Arial" w:hAnsi="Arial"/>
          <w:color w:val="1A2332"/>
          <w:sz w:val="24"/>
          <w:szCs w:val="24"/>
        </w:rPr>
        <w:t xml:space="preserve">A simpler design — one LLM that receives raw Groovy and produces YAML — would work for a pilot of 20 jobs. It would fail catastrophically at 5,000 for the following specific reasons:</w:t>
      </w:r>
    </w:p>
    <w:p>
      <w:pPr>
        <w:pStyle w:val="ListParagraph"/>
        <w:numPr>
          <w:ilvl w:val="0"/>
          <w:numId w:val="2"/>
        </w:numPr>
        <w:spacing w:before="60" w:after="60"/>
      </w:pPr>
      <w:r>
        <w:rPr>
          <w:rFonts w:ascii="Arial" w:cs="Arial" w:eastAsia="Arial" w:hAnsi="Arial"/>
          <w:color w:val="1A2332"/>
          <w:sz w:val="24"/>
          <w:szCs w:val="24"/>
        </w:rPr>
        <w:t xml:space="preserve">Token costs become untenable at raw-Groovy scale without structured pre-processing.</w:t>
      </w:r>
    </w:p>
    <w:p>
      <w:pPr>
        <w:pStyle w:val="ListParagraph"/>
        <w:numPr>
          <w:ilvl w:val="0"/>
          <w:numId w:val="2"/>
        </w:numPr>
        <w:spacing w:before="60" w:after="60"/>
      </w:pPr>
      <w:r>
        <w:rPr>
          <w:rFonts w:ascii="Arial" w:cs="Arial" w:eastAsia="Arial" w:hAnsi="Arial"/>
          <w:color w:val="1A2332"/>
          <w:sz w:val="24"/>
          <w:szCs w:val="24"/>
        </w:rPr>
        <w:t xml:space="preserve">LLM non-determinism propagates to production pipelines without versioned, state-machine-gated handoffs.</w:t>
      </w:r>
    </w:p>
    <w:p>
      <w:pPr>
        <w:pStyle w:val="ListParagraph"/>
        <w:numPr>
          <w:ilvl w:val="0"/>
          <w:numId w:val="2"/>
        </w:numPr>
        <w:spacing w:before="60" w:after="60"/>
      </w:pPr>
      <w:r>
        <w:rPr>
          <w:rFonts w:ascii="Arial" w:cs="Arial" w:eastAsia="Arial" w:hAnsi="Arial"/>
          <w:color w:val="1A2332"/>
          <w:sz w:val="24"/>
          <w:szCs w:val="24"/>
        </w:rPr>
        <w:t xml:space="preserve">Shared library inconsistency corrupts hundreds of jobs simultaneously without a dedicated library migration owner.</w:t>
      </w:r>
    </w:p>
    <w:p>
      <w:pPr>
        <w:pStyle w:val="ListParagraph"/>
        <w:numPr>
          <w:ilvl w:val="0"/>
          <w:numId w:val="2"/>
        </w:numPr>
        <w:spacing w:before="60" w:after="60"/>
      </w:pPr>
      <w:r>
        <w:rPr>
          <w:rFonts w:ascii="Arial" w:cs="Arial" w:eastAsia="Arial" w:hAnsi="Arial"/>
          <w:color w:val="1A2332"/>
          <w:sz w:val="24"/>
          <w:szCs w:val="24"/>
        </w:rPr>
        <w:t xml:space="preserve">API saturation takes down Jenkins for hours without a centralised rate limit governor.</w:t>
      </w:r>
    </w:p>
    <w:p>
      <w:pPr>
        <w:pStyle w:val="ListParagraph"/>
        <w:numPr>
          <w:ilvl w:val="0"/>
          <w:numId w:val="2"/>
        </w:numPr>
        <w:spacing w:before="60" w:after="60"/>
      </w:pPr>
      <w:r>
        <w:rPr>
          <w:rFonts w:ascii="Arial" w:cs="Arial" w:eastAsia="Arial" w:hAnsi="Arial"/>
          <w:color w:val="1A2332"/>
          <w:sz w:val="24"/>
          <w:szCs w:val="24"/>
        </w:rPr>
        <w:t xml:space="preserve">Mid-migration drift produces deployments that implement last month's behaviour without nightly snapshot reconciliation.</w:t>
      </w:r>
    </w:p>
    <w:p>
      <w:pPr>
        <w:pStyle w:val="ListParagraph"/>
        <w:numPr>
          <w:ilvl w:val="0"/>
          <w:numId w:val="2"/>
        </w:numPr>
        <w:spacing w:before="60" w:after="60"/>
      </w:pPr>
      <w:r>
        <w:rPr>
          <w:rFonts w:ascii="Arial" w:cs="Arial" w:eastAsia="Arial" w:hAnsi="Arial"/>
          <w:color w:val="1A2332"/>
          <w:sz w:val="24"/>
          <w:szCs w:val="24"/>
        </w:rPr>
        <w:t xml:space="preserve">Blast radius is uncontrolled without wave sequencing, circuit breakers, and quota enforcement.</w:t>
      </w:r>
    </w:p>
    <w:p>
      <w:pPr>
        <w:spacing w:before="0" w:after="100"/>
      </w:pPr>
      <w:r>
        <w:rPr>
          <w:rFonts w:ascii="Arial" w:cs="Arial" w:eastAsia="Arial" w:hAnsi="Arial"/>
          <w:color w:val="1A2332"/>
          <w:sz w:val="24"/>
          <w:szCs w:val="24"/>
        </w:rPr>
        <w:t xml:space="preserve"/>
      </w:r>
    </w:p>
    <w:p>
      <w:pPr>
        <w:spacing w:before="100" w:after="140"/>
        <w:jc w:val="both"/>
      </w:pPr>
      <w:r>
        <w:rPr>
          <w:rFonts w:ascii="Arial" w:cs="Arial" w:eastAsia="Arial" w:hAnsi="Arial"/>
          <w:color w:val="1A2332"/>
          <w:sz w:val="24"/>
          <w:szCs w:val="24"/>
        </w:rPr>
        <w:t xml:space="preserve">The 14-agent, three-layer architecture with event-driven communication solves all of these. Every handoff is a structured event — logged, replayable, and traceable. Every agent is stateless — restartable without data loss. Every tool call goes through MCP — audited, credential-safe, and kill-switch-protected. Every human gate issues a cryptographic token — enforceable, non-bypassable, and compliant.</w:t>
      </w:r>
    </w:p>
    <w:p>
      <w:pPr>
        <w:spacing w:before="100" w:after="140"/>
        <w:jc w:val="both"/>
      </w:pPr>
      <w:r>
        <w:rPr>
          <w:rFonts w:ascii="Arial" w:cs="Arial" w:eastAsia="Arial" w:hAnsi="Arial"/>
          <w:color w:val="1A2332"/>
          <w:sz w:val="24"/>
          <w:szCs w:val="24"/>
        </w:rPr>
        <w:t xml:space="preserve">This is not over-engineering. It is the minimum viable architecture for doing this safely at Fortune 100 scale. The complexity of the system matches the complexity of the problem it solves.</w:t>
      </w:r>
    </w:p>
    <w:p>
      <w:pPr>
        <w:spacing w:before="0" w:after="100"/>
      </w:pPr>
      <w:r>
        <w:rPr>
          <w:rFonts w:ascii="Arial" w:cs="Arial" w:eastAsia="Arial" w:hAnsi="Arial"/>
          <w:color w:val="1A2332"/>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F" w:sz="4"/>
              <w:left w:val="thick" w:color="1A7A3F" w:sz="12"/>
              <w:bottom w:val="single" w:color="1A7A3F" w:sz="4"/>
              <w:right w:val="single" w:color="1A7A3F" w:sz="4"/>
            </w:tcBorders>
            <w:shd w:fill="D4EDDA" w:val="clear"/>
            <w:tcMar>
              <w:top w:type="dxa" w:w="120"/>
              <w:left w:type="dxa" w:w="180"/>
              <w:bottom w:type="dxa" w:w="120"/>
              <w:right w:type="dxa" w:w="180"/>
            </w:tcMar>
          </w:tcPr>
          <w:p>
            <w:r>
              <w:rPr>
                <w:rFonts w:ascii="Arial" w:cs="Arial" w:eastAsia="Arial" w:hAnsi="Arial"/>
                <w:b/>
                <w:bCs/>
                <w:color w:val="1A7A3F"/>
                <w:sz w:val="22"/>
                <w:szCs w:val="22"/>
              </w:rPr>
              <w:t xml:space="preserve">Key Takeaway:  </w:t>
            </w:r>
            <w:r>
              <w:rPr>
                <w:rFonts w:ascii="Arial" w:cs="Arial" w:eastAsia="Arial" w:hAnsi="Arial"/>
                <w:color w:val="1A2332"/>
                <w:sz w:val="22"/>
                <w:szCs w:val="22"/>
              </w:rPr>
              <w:t xml:space="preserve">Build the human review workflow as a first-class feature, not an afterthought. The migration succeeds not when the LLM works perfectly, but when the human review workflow is fast and clear enough that the 20–30% of assisted jobs do not become a bottleneck that stalls the entire programme.</w:t>
            </w:r>
          </w:p>
        </w:tc>
      </w:tr>
    </w:tbl>
    <w:p>
      <w:pPr>
        <w:spacing w:before="0" w:after="100"/>
      </w:pPr>
      <w:r>
        <w:rPr>
          <w:rFonts w:ascii="Arial" w:cs="Arial" w:eastAsia="Arial" w:hAnsi="Arial"/>
          <w:color w:val="1A2332"/>
          <w:sz w:val="24"/>
          <w:szCs w:val="24"/>
        </w:rPr>
        <w:t xml:space="preserve"/>
      </w:r>
    </w:p>
    <w:p>
      <w:pPr>
        <w:spacing w:before="200" w:after="100"/>
      </w:pPr>
      <w:r>
        <w:rPr>
          <w:rFonts w:ascii="Arial" w:cs="Arial" w:eastAsia="Arial" w:hAnsi="Arial"/>
          <w:color w:val="B8D4EA"/>
          <w:sz w:val="20"/>
          <w:szCs w:val="20"/>
        </w:rPr>
        <w:t xml:space="preserve">――――――――――――――――――――――――――――――――――――――――――――――――――――――――――――</w:t>
      </w:r>
    </w:p>
    <w:p>
      <w:pPr>
        <w:spacing w:before="0" w:after="80"/>
      </w:pPr>
      <w:r>
        <w:rPr>
          <w:rFonts w:ascii="Arial" w:cs="Arial" w:eastAsia="Arial" w:hAnsi="Arial"/>
          <w:b/>
          <w:bCs/>
          <w:color w:val="0A2540"/>
          <w:sz w:val="22"/>
          <w:szCs w:val="22"/>
        </w:rPr>
        <w:t xml:space="preserve">About This Article</w:t>
      </w:r>
    </w:p>
    <w:p>
      <w:pPr>
        <w:spacing w:before="0" w:after="0"/>
      </w:pPr>
      <w:r>
        <w:rPr>
          <w:rFonts w:ascii="Arial" w:cs="Arial" w:eastAsia="Arial" w:hAnsi="Arial"/>
          <w:i/>
          <w:iCs/>
          <w:color w:val="6B7C93"/>
          <w:sz w:val="20"/>
          <w:szCs w:val="20"/>
        </w:rPr>
        <w:t xml:space="preserve">This article is part of an Enterprise AI Architecture series covering production-grade multi-agent system design for regulated organisations. Topics include MCP tool architecture, LLM agent classification, governance gate design, and scalable migration patterns.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D4EA" w:sz="4" w:space="4"/>
      </w:pBdr>
      <w:jc w:val="right"/>
    </w:pPr>
    <w:r>
      <w:rPr>
        <w:rFonts w:ascii="Arial" w:cs="Arial" w:eastAsia="Arial" w:hAnsi="Arial"/>
        <w:color w:val="6B7C93"/>
        <w:sz w:val="18"/>
        <w:szCs w:val="18"/>
      </w:rPr>
      <w:t xml:space="preserve">How We Migrated 5,000 Jenkins Jobs with a Multi-Agent AI System  |  </w:t>
    </w:r>
    <w:r>
      <w:rPr>
        <w:rFonts w:ascii="Arial" w:cs="Arial" w:eastAsia="Arial" w:hAnsi="Arial"/>
        <w:color w:val="6B7C9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D4EA" w:sz="4" w:space="4"/>
      </w:pBdr>
      <w:spacing w:after="0"/>
    </w:pPr>
    <w:r>
      <w:rPr>
        <w:rFonts w:ascii="Arial" w:cs="Arial" w:eastAsia="Arial" w:hAnsi="Arial"/>
        <w:color w:val="6B7C93"/>
        <w:sz w:val="18"/>
        <w:szCs w:val="18"/>
      </w:rPr>
      <w:t xml:space="preserve">Enterprise AI Architecture Blog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072CE"/>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A25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2026-03-05T05:41:58.566Z</dcterms:created>
  <dcterms:modified xsi:type="dcterms:W3CDTF">2026-03-05T05:41:58.567Z</dcterms:modified>
</cp:coreProperties>
</file>

<file path=docProps/custom.xml><?xml version="1.0" encoding="utf-8"?>
<Properties xmlns="http://schemas.openxmlformats.org/officeDocument/2006/custom-properties" xmlns:vt="http://schemas.openxmlformats.org/officeDocument/2006/docPropsVTypes"/>
</file>