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D677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c8uupdos2mt1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Key Insights</w:t>
      </w:r>
    </w:p>
    <w:p w14:paraId="4A08D678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" w:name="_13jdc2jhrc8a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Singapore HDB Resale Price Analysis (2017–2024)</w:t>
      </w:r>
    </w:p>
    <w:p w14:paraId="4A08D679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sz w:val="24"/>
          <w:szCs w:val="24"/>
        </w:rPr>
      </w:pPr>
      <w:bookmarkStart w:id="2" w:name="_x3q1q1zb1acb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t>Overview</w:t>
      </w:r>
    </w:p>
    <w:p w14:paraId="4A08D67A" w14:textId="77777777" w:rsidR="002F7AB1" w:rsidRDefault="00006D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document summarizes the key insights derived from exploratory data analysis (EDA), SQL analysis, and Power BI dashboards.</w:t>
      </w:r>
      <w:r>
        <w:rPr>
          <w:rFonts w:ascii="Calibri" w:eastAsia="Calibri" w:hAnsi="Calibri" w:cs="Calibri"/>
          <w:sz w:val="24"/>
          <w:szCs w:val="24"/>
        </w:rPr>
        <w:br/>
        <w:t>Insights focus on market trends, value drivers, and long-term behavior of HDB resale prices.</w:t>
      </w:r>
    </w:p>
    <w:p w14:paraId="4A08D67B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3" w:name="_gk79bb495g5o" w:colFirst="0" w:colLast="0"/>
      <w:bookmarkEnd w:id="3"/>
      <w:r>
        <w:rPr>
          <w:rFonts w:ascii="Calibri" w:eastAsia="Calibri" w:hAnsi="Calibri" w:cs="Calibri"/>
          <w:b/>
          <w:bCs/>
          <w:sz w:val="28"/>
          <w:szCs w:val="28"/>
        </w:rPr>
        <w:t>Market-Level Insights</w:t>
      </w:r>
    </w:p>
    <w:p w14:paraId="4A08D67C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4" w:name="_yi3xa6tqut32" w:colFirst="0" w:colLast="0"/>
      <w:bookmarkEnd w:id="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HDB Resale Prices Have Accelerated Post-2020</w:t>
      </w:r>
    </w:p>
    <w:p w14:paraId="4A08D67D" w14:textId="77777777" w:rsidR="002F7AB1" w:rsidRDefault="00006D8A">
      <w:pPr>
        <w:numPr>
          <w:ilvl w:val="0"/>
          <w:numId w:val="4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Median resale prices show strong growth after 2020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7E" w14:textId="77777777" w:rsidR="002F7AB1" w:rsidRDefault="00006D8A">
      <w:pPr>
        <w:numPr>
          <w:ilvl w:val="0"/>
          <w:numId w:val="4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Growth is not uniform year-on-year, indicating volatility rather than linear appreciation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7F" w14:textId="77777777" w:rsidR="002F7AB1" w:rsidRDefault="00006D8A">
      <w:pPr>
        <w:numPr>
          <w:ilvl w:val="0"/>
          <w:numId w:val="4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YoY growth spikes coincide with lower transaction volumes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0" w14:textId="77777777" w:rsidR="002F7AB1" w:rsidRDefault="00006D8A">
      <w:pPr>
        <w:spacing w:before="240"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Price trends must always be interpreted alongside transaction volume to avoid misleading conclusions.</w:t>
      </w:r>
    </w:p>
    <w:p w14:paraId="4A08D681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5" w:name="_5pp43g68gzr4" w:colFirst="0" w:colLast="0"/>
      <w:bookmarkEnd w:id="5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2.Median Price Is a More Reliable Market Indicator Than Average</w:t>
      </w:r>
    </w:p>
    <w:p w14:paraId="4A08D682" w14:textId="77777777" w:rsidR="002F7AB1" w:rsidRDefault="00006D8A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Resale price distribution is right-skewed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3" w14:textId="77777777" w:rsidR="002F7AB1" w:rsidRDefault="00006D8A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High-value transactions distort averages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4" w14:textId="77777777" w:rsidR="002F7AB1" w:rsidRDefault="00006D8A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Median provides a stable and representative signal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5" w14:textId="77777777" w:rsidR="002F7AB1" w:rsidRDefault="00006D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All KPIs and growth metrics are median-based for accuracy and interpretability.</w:t>
      </w:r>
    </w:p>
    <w:p w14:paraId="4A08D689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6" w:name="_jxzx5ggj3j75" w:colFirst="0" w:colLast="0"/>
      <w:bookmarkStart w:id="7" w:name="_4xw37kjpzx7q" w:colFirst="0" w:colLast="0"/>
      <w:bookmarkStart w:id="8" w:name="_8dmzmjlz9xx5" w:colFirst="0" w:colLast="0"/>
      <w:bookmarkEnd w:id="6"/>
      <w:bookmarkEnd w:id="7"/>
      <w:bookmarkEnd w:id="8"/>
      <w:r>
        <w:rPr>
          <w:rFonts w:ascii="Calibri" w:eastAsia="Calibri" w:hAnsi="Calibri" w:cs="Calibri"/>
          <w:b/>
          <w:bCs/>
          <w:sz w:val="28"/>
          <w:szCs w:val="28"/>
        </w:rPr>
        <w:t>Flat Characteristics &amp; Pricing Drivers</w:t>
      </w:r>
    </w:p>
    <w:p w14:paraId="4A08D68A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9" w:name="_6ygchruzi60r" w:colFirst="0" w:colLast="0"/>
      <w:bookmarkEnd w:id="9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3.Flat Size Strongly Influences Resale Price, But Not Value Efficiency</w:t>
      </w:r>
    </w:p>
    <w:p w14:paraId="4A08D68B" w14:textId="77777777" w:rsidR="002F7AB1" w:rsidRDefault="00006D8A">
      <w:pPr>
        <w:numPr>
          <w:ilvl w:val="0"/>
          <w:numId w:val="10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Larger flats (4- and 5-room) command higher absolute prices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C" w14:textId="77777777" w:rsidR="002F7AB1" w:rsidRDefault="00006D8A">
      <w:pPr>
        <w:numPr>
          <w:ilvl w:val="0"/>
          <w:numId w:val="10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However, price per </w:t>
      </w:r>
      <w:proofErr w:type="spellStart"/>
      <w:r>
        <w:rPr>
          <w:rFonts w:ascii="Calibri" w:eastAsia="Calibri" w:hAnsi="Calibri" w:cs="Calibri"/>
          <w:sz w:val="24"/>
          <w:szCs w:val="24"/>
        </w:rPr>
        <w:t>sqft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varies significantly across towns and flat types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8D" w14:textId="77777777" w:rsidR="002F7AB1" w:rsidRDefault="00006D8A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Absolute price alone is insufficient; standardized metrics are required for fair comparison.</w:t>
      </w:r>
    </w:p>
    <w:p w14:paraId="4A08D68E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0" w:name="_cr3k3oqeoaqn" w:colFirst="0" w:colLast="0"/>
      <w:bookmarkEnd w:id="1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4.Higher Floors Generally Command a Price Premium</w:t>
      </w:r>
    </w:p>
    <w:p w14:paraId="4A08D68F" w14:textId="77777777" w:rsidR="002F7AB1" w:rsidRDefault="00006D8A">
      <w:pPr>
        <w:numPr>
          <w:ilvl w:val="0"/>
          <w:numId w:val="5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Median resale prices increase with floor level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0" w14:textId="77777777" w:rsidR="002F7AB1" w:rsidRDefault="00006D8A">
      <w:pPr>
        <w:numPr>
          <w:ilvl w:val="0"/>
          <w:numId w:val="5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Premium magnitude varies by town and flat type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1" w14:textId="77777777" w:rsidR="002F7AB1" w:rsidRDefault="00006D8A">
      <w:pPr>
        <w:spacing w:before="240"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Implication:</w:t>
      </w:r>
      <w:r>
        <w:rPr>
          <w:rFonts w:ascii="Calibri" w:eastAsia="Calibri" w:hAnsi="Calibri" w:cs="Calibri"/>
          <w:sz w:val="24"/>
          <w:szCs w:val="24"/>
        </w:rPr>
        <w:t xml:space="preserve"> Floor rise categorization improves interpretability and enables controlled comparisons.</w:t>
      </w:r>
    </w:p>
    <w:p w14:paraId="4A08D692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11" w:name="_3ann4y3z0ke4" w:colFirst="0" w:colLast="0"/>
      <w:bookmarkEnd w:id="11"/>
      <w:r>
        <w:rPr>
          <w:rFonts w:ascii="Calibri" w:eastAsia="Calibri" w:hAnsi="Calibri" w:cs="Calibri"/>
          <w:b/>
          <w:bCs/>
          <w:sz w:val="28"/>
          <w:szCs w:val="28"/>
        </w:rPr>
        <w:t>Age &amp; Long-Term Value</w:t>
      </w:r>
    </w:p>
    <w:p w14:paraId="4A08D693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2" w:name="_zb34zcl8p8q" w:colFirst="0" w:colLast="0"/>
      <w:bookmarkEnd w:id="12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5.Flat Age Has a Non-Linear Impact on Resale Price</w:t>
      </w:r>
    </w:p>
    <w:p w14:paraId="4A08D694" w14:textId="77777777" w:rsidR="002F7AB1" w:rsidRDefault="00006D8A">
      <w:pPr>
        <w:numPr>
          <w:ilvl w:val="0"/>
          <w:numId w:val="9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Prices decline as flats age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5" w14:textId="77777777" w:rsidR="002F7AB1" w:rsidRDefault="00006D8A">
      <w:pPr>
        <w:numPr>
          <w:ilvl w:val="0"/>
          <w:numId w:val="9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Early-age depreciation is steeper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6" w14:textId="77777777" w:rsidR="002F7AB1" w:rsidRDefault="00006D8A">
      <w:pPr>
        <w:numPr>
          <w:ilvl w:val="0"/>
          <w:numId w:val="9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Price decline flattens for older flats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7" w14:textId="77777777" w:rsidR="002F7AB1" w:rsidRDefault="00006D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Age bucketing (New / Mid / Old) provides clearer insights than continuous age analysis.</w:t>
      </w:r>
    </w:p>
    <w:p w14:paraId="4A08D698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3" w:name="_89305a4cpgs8" w:colFirst="0" w:colLast="0"/>
      <w:bookmarkEnd w:id="13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6.Larger Flats Retain Value Better Over Time</w:t>
      </w:r>
    </w:p>
    <w:p w14:paraId="4A08D699" w14:textId="77777777" w:rsidR="002F7AB1" w:rsidRDefault="00006D8A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Larger flat types show slower depreciation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A" w14:textId="77777777" w:rsidR="002F7AB1" w:rsidRDefault="00006D8A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Smaller flats experience sharper early declines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B" w14:textId="77777777" w:rsidR="002F7AB1" w:rsidRDefault="00006D8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Implication:</w:t>
      </w:r>
      <w:r>
        <w:rPr>
          <w:rFonts w:ascii="Calibri" w:eastAsia="Calibri" w:hAnsi="Calibri" w:cs="Calibri"/>
          <w:sz w:val="24"/>
          <w:szCs w:val="24"/>
        </w:rPr>
        <w:t xml:space="preserve"> Value retention differs structurally by flat type and should not be generalized.</w:t>
      </w:r>
    </w:p>
    <w:p w14:paraId="4A08D69C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4" w:name="_4l81raa488ux" w:colFirst="0" w:colLast="0"/>
      <w:bookmarkEnd w:id="14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7.Value Retention Index Highlights Long-Term Resilience</w:t>
      </w:r>
    </w:p>
    <w:p w14:paraId="4A08D69D" w14:textId="77777777" w:rsidR="002F7AB1" w:rsidRDefault="00006D8A">
      <w:pPr>
        <w:numPr>
          <w:ilvl w:val="0"/>
          <w:numId w:val="7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Comparing newer and older flats reveals significant differences in retention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E" w14:textId="77777777" w:rsidR="002F7AB1" w:rsidRDefault="00006D8A">
      <w:pPr>
        <w:numPr>
          <w:ilvl w:val="0"/>
          <w:numId w:val="7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Some flat types retain a larger proportion of their original value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9F" w14:textId="77777777" w:rsidR="002F7AB1" w:rsidRDefault="00006D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The Value Retention Index provides a long-term lens beyond short-term price movements.</w:t>
      </w:r>
    </w:p>
    <w:p w14:paraId="4A08D6A0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15" w:name="_adyqc8yb12nb" w:colFirst="0" w:colLast="0"/>
      <w:bookmarkEnd w:id="15"/>
      <w:r>
        <w:rPr>
          <w:rFonts w:ascii="Calibri" w:eastAsia="Calibri" w:hAnsi="Calibri" w:cs="Calibri"/>
          <w:b/>
          <w:bCs/>
          <w:sz w:val="28"/>
          <w:szCs w:val="28"/>
        </w:rPr>
        <w:t>Location-Based Insights</w:t>
      </w:r>
    </w:p>
    <w:p w14:paraId="4A08D6A1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6" w:name="_khlkldmltzr5" w:colFirst="0" w:colLast="0"/>
      <w:bookmarkEnd w:id="16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8.Significant Town-Level Price Disparities Exist</w:t>
      </w:r>
    </w:p>
    <w:p w14:paraId="4A08D6A2" w14:textId="77777777" w:rsidR="002F7AB1" w:rsidRDefault="00006D8A">
      <w:pPr>
        <w:numPr>
          <w:ilvl w:val="0"/>
          <w:numId w:val="8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Mature towns dominate top median resale prices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3" w14:textId="77777777" w:rsidR="002F7AB1" w:rsidRDefault="00006D8A">
      <w:pPr>
        <w:numPr>
          <w:ilvl w:val="0"/>
          <w:numId w:val="8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Town-level differences persist even after controlling for flat type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4" w14:textId="77777777" w:rsidR="002F7AB1" w:rsidRDefault="00006D8A">
      <w:pPr>
        <w:spacing w:before="240"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Implication:</w:t>
      </w:r>
      <w:r>
        <w:rPr>
          <w:rFonts w:ascii="Calibri" w:eastAsia="Calibri" w:hAnsi="Calibri" w:cs="Calibri"/>
          <w:sz w:val="24"/>
          <w:szCs w:val="24"/>
        </w:rPr>
        <w:t xml:space="preserve"> Geographic segmentation is essential for meaningful analysis.</w:t>
      </w:r>
    </w:p>
    <w:p w14:paraId="4A08D6A5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17" w:name="_r2lmiaxea4er" w:colFirst="0" w:colLast="0"/>
      <w:bookmarkEnd w:id="17"/>
      <w:r>
        <w:rPr>
          <w:rFonts w:ascii="Calibri" w:eastAsia="Calibri" w:hAnsi="Calibri" w:cs="Calibri"/>
          <w:b/>
          <w:bCs/>
          <w:sz w:val="28"/>
          <w:szCs w:val="28"/>
        </w:rPr>
        <w:t>Market Activity &amp; Volatility</w:t>
      </w:r>
    </w:p>
    <w:p w14:paraId="4A08D6A6" w14:textId="77777777" w:rsidR="002F7AB1" w:rsidRDefault="00006D8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bookmarkStart w:id="18" w:name="_2brmvg6eshu1" w:colFirst="0" w:colLast="0"/>
      <w:bookmarkEnd w:id="18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9.Transaction Volume Explains YoY Volatility</w:t>
      </w:r>
    </w:p>
    <w:p w14:paraId="4A08D6A7" w14:textId="77777777" w:rsidR="002F7AB1" w:rsidRDefault="00006D8A">
      <w:pPr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Years with lower transaction counts exhibit higher YoY volatility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8" w14:textId="77777777" w:rsidR="002F7AB1" w:rsidRDefault="00006D8A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Negative YoY growth often reflects normalization rather than decline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9" w14:textId="77777777" w:rsidR="002F7AB1" w:rsidRDefault="00006D8A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Implication: </w:t>
      </w:r>
      <w:r>
        <w:rPr>
          <w:rFonts w:ascii="Calibri" w:eastAsia="Calibri" w:hAnsi="Calibri" w:cs="Calibri"/>
          <w:sz w:val="24"/>
          <w:szCs w:val="24"/>
        </w:rPr>
        <w:t>YoY growth must always be contextualized with volume metrics.</w:t>
      </w:r>
    </w:p>
    <w:p w14:paraId="4A08D6AA" w14:textId="77777777" w:rsidR="002F7AB1" w:rsidRDefault="00006D8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9" w:name="_tctj78v1quf" w:colFirst="0" w:colLast="0"/>
      <w:bookmarkEnd w:id="19"/>
      <w:r>
        <w:rPr>
          <w:rFonts w:ascii="Calibri" w:eastAsia="Calibri" w:hAnsi="Calibri" w:cs="Calibri"/>
          <w:b/>
          <w:bCs/>
          <w:sz w:val="24"/>
          <w:szCs w:val="24"/>
        </w:rPr>
        <w:t>Summary of Strategic Insights</w:t>
      </w:r>
    </w:p>
    <w:p w14:paraId="4A08D6AB" w14:textId="77777777" w:rsidR="002F7AB1" w:rsidRDefault="00006D8A" w:rsidP="00006D8A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Median-based analysis improves robustness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C" w14:textId="77777777" w:rsidR="002F7AB1" w:rsidRDefault="00006D8A" w:rsidP="00006D8A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Structural factors (size, age, floor) dominate pricing behavior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D" w14:textId="77777777" w:rsidR="002F7AB1" w:rsidRDefault="00006D8A" w:rsidP="00006D8A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Market activity strongly influences short-term volatility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A08D6AE" w14:textId="77777777" w:rsidR="002F7AB1" w:rsidRDefault="00006D8A" w:rsidP="00006D8A">
      <w:pPr>
        <w:numPr>
          <w:ilvl w:val="0"/>
          <w:numId w:val="6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Long-term value retention varies meaningfully across flat types and locations</w:t>
      </w:r>
      <w:r>
        <w:rPr>
          <w:rFonts w:ascii="Calibri" w:eastAsia="Calibri" w:hAnsi="Calibri" w:cs="Calibri"/>
        </w:rPr>
        <w:br/>
      </w:r>
    </w:p>
    <w:p w14:paraId="5702FA74" w14:textId="77777777" w:rsidR="00B42159" w:rsidRDefault="00006D8A" w:rsidP="00B42159">
      <w:pPr>
        <w:spacing w:before="240" w:after="24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Conclusion</w:t>
      </w:r>
    </w:p>
    <w:p w14:paraId="4A08D6B1" w14:textId="3961C3C9" w:rsidR="002F7AB1" w:rsidRPr="00006D8A" w:rsidRDefault="00006D8A" w:rsidP="00006D8A">
      <w:pPr>
        <w:spacing w:before="240" w:after="24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analysis provides a balanced view of short-term market dynamics and long-term structural value, supporting informed interpretation of HDB resale prices for analytical and decision-making purposes.</w:t>
      </w:r>
    </w:p>
    <w:sectPr w:rsidR="002F7AB1" w:rsidRPr="00006D8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D6B7" w14:textId="77777777" w:rsidR="00006D8A" w:rsidRDefault="00006D8A">
      <w:pPr>
        <w:spacing w:line="240" w:lineRule="auto"/>
      </w:pPr>
      <w:r>
        <w:separator/>
      </w:r>
    </w:p>
  </w:endnote>
  <w:endnote w:type="continuationSeparator" w:id="0">
    <w:p w14:paraId="4A08D6B9" w14:textId="77777777" w:rsidR="00006D8A" w:rsidRDefault="00006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BE46D7-D241-4299-B7A3-E331EE87A556}"/>
    <w:embedBold r:id="rId2" w:fontKey="{927ED059-AA69-428E-8EF6-CB3E27312DC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EDC4175A-E182-409E-AC28-ED50709634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216606-5446-44CF-B6DB-545ABF0885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8D6B3" w14:textId="77777777" w:rsidR="00006D8A" w:rsidRDefault="00006D8A">
      <w:pPr>
        <w:spacing w:line="240" w:lineRule="auto"/>
      </w:pPr>
      <w:r>
        <w:separator/>
      </w:r>
    </w:p>
  </w:footnote>
  <w:footnote w:type="continuationSeparator" w:id="0">
    <w:p w14:paraId="4A08D6B5" w14:textId="77777777" w:rsidR="00006D8A" w:rsidRDefault="00006D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8D6B2" w14:textId="77777777" w:rsidR="002F7AB1" w:rsidRDefault="002F7A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417"/>
    <w:multiLevelType w:val="multilevel"/>
    <w:tmpl w:val="964C8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E04945"/>
    <w:multiLevelType w:val="multilevel"/>
    <w:tmpl w:val="1AD00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3132B"/>
    <w:multiLevelType w:val="multilevel"/>
    <w:tmpl w:val="0E729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703BB3"/>
    <w:multiLevelType w:val="multilevel"/>
    <w:tmpl w:val="1A802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9757D9"/>
    <w:multiLevelType w:val="multilevel"/>
    <w:tmpl w:val="ED128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F61C96"/>
    <w:multiLevelType w:val="multilevel"/>
    <w:tmpl w:val="A24CE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1756B7"/>
    <w:multiLevelType w:val="multilevel"/>
    <w:tmpl w:val="6A548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A2882"/>
    <w:multiLevelType w:val="multilevel"/>
    <w:tmpl w:val="8C982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9A41B9"/>
    <w:multiLevelType w:val="multilevel"/>
    <w:tmpl w:val="33CA1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671A44"/>
    <w:multiLevelType w:val="multilevel"/>
    <w:tmpl w:val="8FA42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1581704">
    <w:abstractNumId w:val="6"/>
  </w:num>
  <w:num w:numId="2" w16cid:durableId="973758567">
    <w:abstractNumId w:val="1"/>
  </w:num>
  <w:num w:numId="3" w16cid:durableId="1238828162">
    <w:abstractNumId w:val="4"/>
  </w:num>
  <w:num w:numId="4" w16cid:durableId="1428311411">
    <w:abstractNumId w:val="7"/>
  </w:num>
  <w:num w:numId="5" w16cid:durableId="1256939183">
    <w:abstractNumId w:val="8"/>
  </w:num>
  <w:num w:numId="6" w16cid:durableId="1783039748">
    <w:abstractNumId w:val="2"/>
  </w:num>
  <w:num w:numId="7" w16cid:durableId="223178841">
    <w:abstractNumId w:val="9"/>
  </w:num>
  <w:num w:numId="8" w16cid:durableId="458692977">
    <w:abstractNumId w:val="5"/>
  </w:num>
  <w:num w:numId="9" w16cid:durableId="1321617105">
    <w:abstractNumId w:val="0"/>
  </w:num>
  <w:num w:numId="10" w16cid:durableId="1937712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AB1"/>
    <w:rsid w:val="00006D8A"/>
    <w:rsid w:val="002F7AB1"/>
    <w:rsid w:val="009F544D"/>
    <w:rsid w:val="00B4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D677"/>
  <w15:docId w15:val="{95B545B5-2642-4FEB-833F-229C63B5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Sukirthraj K</cp:lastModifiedBy>
  <cp:revision>3</cp:revision>
  <dcterms:created xsi:type="dcterms:W3CDTF">2026-01-11T13:12:00Z</dcterms:created>
  <dcterms:modified xsi:type="dcterms:W3CDTF">2026-01-11T13:13:00Z</dcterms:modified>
</cp:coreProperties>
</file>