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zbpu7ei20nvc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Problem Statement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3a0e9jengzhk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Singapore HDB Resale Price Analysis (2017–2024)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bookmarkStart w:colFirst="0" w:colLast="0" w:name="_ipcvgo2oiox4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Purpose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This document outlines the key business and analytical questions addressed in this project.</w:t>
        <w:br w:type="textWrapping"/>
        <w:t xml:space="preserve"> All analysis, KPIs, and dashboards are designed to answer these questions in a clear and actionable way.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ykxvq482hbii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Market Trend &amp; Pricing Questions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sdw2pry8c6l6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1. How have HDB resale prices changed over time?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Analyze long-term price trends from 2017 to 2024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periods of acceleration, slowdown, or volatility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 pricing insights for buyers, sellers, and policymakers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0A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Metrics Used: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Median resale price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Year-over-Year (YoY) growth %</w:t>
        <w:br w:type="textWrapping"/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vm3o21nu8p2m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2.Are recent price increases broad-based or driven by specific segments?</w:t>
      </w:r>
    </w:p>
    <w:p w:rsidR="00000000" w:rsidDel="00000000" w:rsidP="00000000" w:rsidRDefault="00000000" w:rsidRPr="00000000" w14:paraId="0000000E">
      <w:pPr>
        <w:numPr>
          <w:ilvl w:val="0"/>
          <w:numId w:val="1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Determine whether growth is consistent across flat types and towns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segments contributing disproportionately to price increases</w:t>
        <w:br w:type="textWrapping"/>
      </w:r>
    </w:p>
    <w:p w:rsidR="00000000" w:rsidDel="00000000" w:rsidP="00000000" w:rsidRDefault="00000000" w:rsidRPr="00000000" w14:paraId="00000010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Metrics Used: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Median resale price by flat type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Median resale price by town</w:t>
        <w:br w:type="textWrapping"/>
      </w:r>
    </w:p>
    <w:p w:rsidR="00000000" w:rsidDel="00000000" w:rsidP="00000000" w:rsidRDefault="00000000" w:rsidRPr="00000000" w14:paraId="00000013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Flat Characteristics &amp; Value Drivers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o1wirv2678gk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3.How does flat size influence resale prices?</w:t>
      </w:r>
    </w:p>
    <w:p w:rsidR="00000000" w:rsidDel="00000000" w:rsidP="00000000" w:rsidRDefault="00000000" w:rsidRPr="00000000" w14:paraId="00000015">
      <w:pPr>
        <w:numPr>
          <w:ilvl w:val="0"/>
          <w:numId w:val="1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Assess relationship between floor area and resale price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Evaluate value efficiency using standardized metrics</w:t>
        <w:br w:type="textWrapping"/>
      </w:r>
    </w:p>
    <w:p w:rsidR="00000000" w:rsidDel="00000000" w:rsidP="00000000" w:rsidRDefault="00000000" w:rsidRPr="00000000" w14:paraId="00000017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Metrics Used: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Floor area (sqm)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Price per sqft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7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Scatter analysis</w:t>
        <w:br w:type="textWrapping"/>
      </w:r>
    </w:p>
    <w:p w:rsidR="00000000" w:rsidDel="00000000" w:rsidP="00000000" w:rsidRDefault="00000000" w:rsidRPr="00000000" w14:paraId="0000001B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6"/>
          <w:szCs w:val="26"/>
          <w:rtl w:val="0"/>
        </w:rPr>
        <w:t xml:space="preserve">4. </w:t>
      </w: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Do higher-floor flats command a price premium?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Quantify price differences across floor levels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whether the premium varies by town or flat type</w:t>
        <w:br w:type="textWrapping"/>
      </w:r>
    </w:p>
    <w:p w:rsidR="00000000" w:rsidDel="00000000" w:rsidP="00000000" w:rsidRDefault="00000000" w:rsidRPr="00000000" w14:paraId="0000001E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Metrics Used: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Floor rise category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Median resale price by floor rise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irrbia3ydzpe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Age, Lease &amp; Value Retention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6f39c5dw09hi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5.How does flat age impact resale value?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Measure depreciation patterns as flats age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non-linear price declines</w:t>
        <w:br w:type="textWrapping"/>
      </w:r>
    </w:p>
    <w:p w:rsidR="00000000" w:rsidDel="00000000" w:rsidP="00000000" w:rsidRDefault="00000000" w:rsidRPr="00000000" w14:paraId="00000025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Metrics Used: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Flat age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Flat condition buckets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Median resale price by age group</w:t>
      </w:r>
      <w:r w:rsidDel="00000000" w:rsidR="00000000" w:rsidRPr="00000000">
        <w:rPr>
          <w:rFonts w:ascii="Calibri" w:cs="Calibri" w:eastAsia="Calibri" w:hAnsi="Calibri"/>
          <w:rtl w:val="0"/>
        </w:rPr>
        <w:br w:type="textWrapping"/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dtexut1py8jd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6. Which flat types retain value better over time?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Compare price retention between newer and older flats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Identify resilient flat types</w:t>
        <w:br w:type="textWrapping"/>
      </w:r>
    </w:p>
    <w:p w:rsidR="00000000" w:rsidDel="00000000" w:rsidP="00000000" w:rsidRDefault="00000000" w:rsidRPr="00000000" w14:paraId="0000002E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Metrics Used: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Value Retention Index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Flat age × flat type analysis</w:t>
        <w:br w:type="textWrapping"/>
      </w:r>
    </w:p>
    <w:p w:rsidR="00000000" w:rsidDel="00000000" w:rsidP="00000000" w:rsidRDefault="00000000" w:rsidRPr="00000000" w14:paraId="00000031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Location-Based Analysis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p0oaxmy45pow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7.Which towns command the highest resale prices?</w:t>
      </w:r>
    </w:p>
    <w:p w:rsidR="00000000" w:rsidDel="00000000" w:rsidP="00000000" w:rsidRDefault="00000000" w:rsidRPr="00000000" w14:paraId="00000033">
      <w:pPr>
        <w:numPr>
          <w:ilvl w:val="0"/>
          <w:numId w:val="13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Rank towns based on median resale prices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3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Highlight mature vs non-mature town differences</w:t>
        <w:br w:type="textWrapping"/>
      </w:r>
    </w:p>
    <w:p w:rsidR="00000000" w:rsidDel="00000000" w:rsidP="00000000" w:rsidRDefault="00000000" w:rsidRPr="00000000" w14:paraId="00000035">
      <w:pPr>
        <w:spacing w:after="240" w:before="240"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Metrics Used: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Median resale price by town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Top-N town ranking</w:t>
        <w:br w:type="textWrapping"/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qg201a8kp92e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8.Are there significant regional price disparities?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Compare pricing patterns across regions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Support region-level filtering and segmentation</w:t>
        <w:br w:type="textWrapping"/>
      </w:r>
    </w:p>
    <w:p w:rsidR="00000000" w:rsidDel="00000000" w:rsidP="00000000" w:rsidRDefault="00000000" w:rsidRPr="00000000" w14:paraId="0000003B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Metrics Used: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Median resale price by region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Transaction volume by region</w:t>
        <w:br w:type="textWrapping"/>
      </w:r>
    </w:p>
    <w:p w:rsidR="00000000" w:rsidDel="00000000" w:rsidP="00000000" w:rsidRDefault="00000000" w:rsidRPr="00000000" w14:paraId="0000003E">
      <w:pPr>
        <w:spacing w:after="240" w:before="240" w:line="240" w:lineRule="auto"/>
        <w:ind w:left="0" w:firstLine="0"/>
        <w:rPr>
          <w:rFonts w:ascii="Calibri" w:cs="Calibri" w:eastAsia="Calibri" w:hAnsi="Calibri"/>
          <w:b w:val="1"/>
          <w:bCs w:val="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Market Activity &amp; Volatility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="240" w:lineRule="auto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bookmarkStart w:colFirst="0" w:colLast="0" w:name="_y7k4oe91a5f8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4"/>
          <w:szCs w:val="24"/>
          <w:rtl w:val="0"/>
        </w:rPr>
        <w:t xml:space="preserve">9.How does transaction volume relate to price movements?</w:t>
      </w:r>
    </w:p>
    <w:p w:rsidR="00000000" w:rsidDel="00000000" w:rsidP="00000000" w:rsidRDefault="00000000" w:rsidRPr="00000000" w14:paraId="00000040">
      <w:pPr>
        <w:numPr>
          <w:ilvl w:val="0"/>
          <w:numId w:val="12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Examine whether volume changes explain price volatility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2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Prevent misleading interpretation of YoY growth</w:t>
        <w:br w:type="textWrapping"/>
      </w:r>
    </w:p>
    <w:p w:rsidR="00000000" w:rsidDel="00000000" w:rsidP="00000000" w:rsidRDefault="00000000" w:rsidRPr="00000000" w14:paraId="00000042">
      <w:pPr>
        <w:spacing w:after="240" w:before="240" w:line="240" w:lineRule="auto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Metrics Used:</w:t>
      </w:r>
    </w:p>
    <w:p w:rsidR="00000000" w:rsidDel="00000000" w:rsidP="00000000" w:rsidRDefault="00000000" w:rsidRPr="00000000" w14:paraId="00000043">
      <w:pPr>
        <w:numPr>
          <w:ilvl w:val="0"/>
          <w:numId w:val="14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Total transactions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14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YoY growth %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14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Volume vs growth comparison</w:t>
        <w:br w:type="textWrapping"/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Calibri" w:cs="Calibri" w:eastAsia="Calibri" w:hAnsi="Calibri"/>
          <w:b w:val="1"/>
          <w:bCs w:val="1"/>
          <w:sz w:val="28"/>
          <w:szCs w:val="28"/>
        </w:rPr>
      </w:pPr>
      <w:bookmarkStart w:colFirst="0" w:colLast="0" w:name="_nwvm5vwhivqb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sz w:val="28"/>
          <w:szCs w:val="28"/>
          <w:rtl w:val="0"/>
        </w:rPr>
        <w:t xml:space="preserve">Decision Support Outcomes</w:t>
      </w:r>
    </w:p>
    <w:p w:rsidR="00000000" w:rsidDel="00000000" w:rsidP="00000000" w:rsidRDefault="00000000" w:rsidRPr="00000000" w14:paraId="00000047">
      <w:pPr>
        <w:spacing w:after="240" w:before="240" w:line="24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These business questions support:</w:t>
      </w:r>
    </w:p>
    <w:p w:rsidR="00000000" w:rsidDel="00000000" w:rsidP="00000000" w:rsidRDefault="00000000" w:rsidRPr="00000000" w14:paraId="00000048">
      <w:pPr>
        <w:numPr>
          <w:ilvl w:val="0"/>
          <w:numId w:val="19"/>
        </w:numPr>
        <w:spacing w:after="0" w:afterAutospacing="0" w:before="24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Buyers assessing long-term value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Sellers understanding market timing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19"/>
        </w:numPr>
        <w:spacing w:after="0" w:afterAutospacing="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Analysts interpreting price signals correctly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240" w:before="0" w:beforeAutospacing="0" w:line="240" w:lineRule="auto"/>
        <w:ind w:left="720" w:hanging="36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Policymakers monitoring resale market health</w:t>
        <w:br w:type="textWrapping"/>
      </w:r>
    </w:p>
    <w:p w:rsidR="00000000" w:rsidDel="00000000" w:rsidP="00000000" w:rsidRDefault="00000000" w:rsidRPr="00000000" w14:paraId="0000004C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