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Applied Algorithms and Data Structures</w:t>
      </w:r>
    </w:p>
    <w:p>
      <w:pPr>
        <w:jc w:val="center"/>
      </w:pPr>
      <w:r>
        <w:rPr>
          <w:sz w:val="28"/>
        </w:rPr>
        <w:t>Technical Report and Implementation</w:t>
      </w:r>
    </w:p>
    <w:p>
      <w:pPr>
        <w:jc w:val="center"/>
      </w:pPr>
      <w:r>
        <w:rPr>
          <w:color w:val="555555"/>
          <w:sz w:val="20"/>
        </w:rPr>
        <w:t>Module 502IT - Algorithms and Data Structures</w:t>
        <w:br/>
        <w:t>Problems addressed: 1 (Delivery Routes), 2 (Resource Allocation), 5 (Recommendation Engine)</w:t>
      </w:r>
    </w:p>
    <w:p/>
    <w:p>
      <w:pPr>
        <w:pStyle w:val="Heading1"/>
      </w:pPr>
      <w:r>
        <w:t>1. Introduction</w:t>
      </w:r>
    </w:p>
    <w:p>
      <w:r>
        <w:t>This report presents the design, implementation and evaluation of solutions to three complex computing problems drawn from the module problem set: optimising delivery routes, dynamic resource allocation, and a bookstore recommendation engine. For each problem the report follows the same structure - problem analysis, algorithm design with pseudocode and a dry run, evaluation of time and space complexity with comparison to alternatives, and a reflection on improvements. The three problems were chosen deliberately to exercise a broad range of data structures - weighted graphs, heaps and priority queues, and hash-based sets and dictionaries - and a broad range of algorithmic strategies, from greedy heuristics and local search to scheduling policies and collaborative filtering. All three solutions are implemented in Python using object-oriented design, share a common test suite, and are accompanied by a graphical demonstrator. The accompanying code is organised as a package (src/) with a separate test package (tests/), reflecting a modular design in which each problem is an independent, reusable component.</w:t>
      </w:r>
    </w:p>
    <w:p>
      <w:pPr>
        <w:pStyle w:val="Heading1"/>
      </w:pPr>
      <w:r>
        <w:t>2. Problem 1 - Optimising Delivery Routes</w:t>
      </w:r>
    </w:p>
    <w:p>
      <w:pPr>
        <w:pStyle w:val="Heading2"/>
      </w:pPr>
      <w:r>
        <w:t>2.1 Problem Analysis</w:t>
      </w:r>
    </w:p>
    <w:p>
      <w:r>
        <w:t>A delivery driver must leave a depot, visit a set of customer addresses exactly once, and return to the depot while travelling the shortest total distance. This is the Travelling Salesperson Problem (TSP), one of the best-known NP-hard optimisation problems: the number of possible tours of n stops is (n-1)!/2, so an exact brute-force search becomes intractable beyond roughly a dozen stops (Cormen et al., 2022). Because a real delivery planner must respond quickly and scale to many addresses, an exact optimum is neither necessary nor affordable; a near-optimal route produced quickly is far more valuable. The natural data structure is a weighted graph in which vertices represent locations and edge weights represent the distance (or travel time) between them. Because any location can be reached from any other, the graph is complete, and the most efficient representation is a distance matrix that allows O(1) lookup of the cost between any pair of stops.</w:t>
      </w:r>
    </w:p>
    <w:p>
      <w:pPr>
        <w:pStyle w:val="Heading2"/>
      </w:pPr>
      <w:r>
        <w:t>2.2 Algorithm Design</w:t>
      </w:r>
    </w:p>
    <w:p>
      <w:r>
        <w:t>The chosen strategy combines a greedy construction heuristic with a local search improvement. The Nearest Neighbour heuristic builds an initial tour by always travelling to the closest unvisited location; this is fast but can leave long 'crossing' edges. A 2-opt local search then repeatedly removes two edges and reconnects the tour the other way whenever doing so shortens it, which systematically removes crossings. The pseudocode for both stages is shown below.</w:t>
      </w:r>
    </w:p>
    <w:p>
      <w:pPr>
        <w:spacing w:before="80" w:after="160"/>
        <w:ind w:left="288"/>
        <w:shd w:val="clear" w:fill="F2F2F2"/>
      </w:pPr>
      <w:r>
        <w:rPr>
          <w:rFonts w:ascii="Consolas" w:hAnsi="Consolas"/>
          <w:sz w:val="18"/>
        </w:rPr>
        <w:t>FUNCTION NearestNeighbour(graph, depot):</w:t>
        <w:br/>
        <w:t xml:space="preserve">    tour &lt;- [depot]</w:t>
        <w:br/>
        <w:t xml:space="preserve">    unvisited &lt;- all locations except depot</w:t>
        <w:br/>
        <w:t xml:space="preserve">    current &lt;- depot</w:t>
        <w:br/>
        <w:t xml:space="preserve">    WHILE unvisited is not empty:</w:t>
        <w:br/>
        <w:t xml:space="preserve">        next &lt;- location in unvisited minimising distance(current, next)</w:t>
        <w:br/>
        <w:t xml:space="preserve">        append next to tour;  remove next from unvisited</w:t>
        <w:br/>
        <w:t xml:space="preserve">        current &lt;- next</w:t>
        <w:br/>
        <w:t xml:space="preserve">    RETURN tour</w:t>
        <w:br/>
        <w:br/>
        <w:t>FUNCTION TwoOpt(graph, tour):</w:t>
        <w:br/>
        <w:t xml:space="preserve">    REPEAT</w:t>
        <w:br/>
        <w:t xml:space="preserve">        improved &lt;- false</w:t>
        <w:br/>
        <w:t xml:space="preserve">        FOR i FROM 1 TO len(tour)-2:</w:t>
        <w:br/>
        <w:t xml:space="preserve">            FOR j FROM i+1 TO len(tour)-1:</w:t>
        <w:br/>
        <w:t xml:space="preserve">                gain &lt;- d(a,c)+d(b,d) - d(a,b) - d(c,d)   # a,b=edge i; c,d=edge j</w:t>
        <w:br/>
        <w:t xml:space="preserve">                IF gain &lt; 0:</w:t>
        <w:br/>
        <w:t xml:space="preserve">                    reverse segment tour[i..j];  improved &lt;- true</w:t>
        <w:br/>
        <w:t xml:space="preserve">    UNTIL not improved</w:t>
        <w:br/>
        <w:t xml:space="preserve">    RETURN tour</w:t>
      </w:r>
    </w:p>
    <w:p>
      <w:r>
        <w:t>Dry run. Consider four locations forming a rectangle: Depot(0,0), A(0,3), B(4,3) and C(4,0). Nearest Neighbour from the Depot selects A (distance 3), then B (distance 4), then C (distance 3), giving the tour Depot-A-B-C-Depot with a return edge of 4, a total of 14. 2-opt finds no reconnection that shortens this perimeter route, so 14 is returned - which is provably optimal for a rectangle. The table traces the construction step by step.</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Step</w:t>
            </w:r>
          </w:p>
        </w:tc>
        <w:tc>
          <w:tcPr>
            <w:tcW w:type="dxa" w:w="1728"/>
          </w:tcPr>
          <w:p>
            <w:r>
              <w:rPr>
                <w:b/>
                <w:sz w:val="18"/>
              </w:rPr>
              <w:t>Current</w:t>
            </w:r>
          </w:p>
        </w:tc>
        <w:tc>
          <w:tcPr>
            <w:tcW w:type="dxa" w:w="1728"/>
          </w:tcPr>
          <w:p>
            <w:r>
              <w:rPr>
                <w:b/>
                <w:sz w:val="18"/>
              </w:rPr>
              <w:t>Candidates (distance)</w:t>
            </w:r>
          </w:p>
        </w:tc>
        <w:tc>
          <w:tcPr>
            <w:tcW w:type="dxa" w:w="1728"/>
          </w:tcPr>
          <w:p>
            <w:r>
              <w:rPr>
                <w:b/>
                <w:sz w:val="18"/>
              </w:rPr>
              <w:t>Chosen</w:t>
            </w:r>
          </w:p>
        </w:tc>
        <w:tc>
          <w:tcPr>
            <w:tcW w:type="dxa" w:w="1728"/>
          </w:tcPr>
          <w:p>
            <w:r>
              <w:rPr>
                <w:b/>
                <w:sz w:val="18"/>
              </w:rPr>
              <w:t>Tour so far</w:t>
            </w:r>
          </w:p>
        </w:tc>
      </w:tr>
      <w:tr>
        <w:tc>
          <w:tcPr>
            <w:tcW w:type="dxa" w:w="1728"/>
          </w:tcPr>
          <w:p>
            <w:r>
              <w:rPr>
                <w:sz w:val="18"/>
              </w:rPr>
              <w:t>1</w:t>
            </w:r>
          </w:p>
        </w:tc>
        <w:tc>
          <w:tcPr>
            <w:tcW w:type="dxa" w:w="1728"/>
          </w:tcPr>
          <w:p>
            <w:r>
              <w:rPr>
                <w:sz w:val="18"/>
              </w:rPr>
              <w:t>Depot</w:t>
            </w:r>
          </w:p>
        </w:tc>
        <w:tc>
          <w:tcPr>
            <w:tcW w:type="dxa" w:w="1728"/>
          </w:tcPr>
          <w:p>
            <w:r>
              <w:rPr>
                <w:sz w:val="18"/>
              </w:rPr>
              <w:t>A:3, B:5, C:4</w:t>
            </w:r>
          </w:p>
        </w:tc>
        <w:tc>
          <w:tcPr>
            <w:tcW w:type="dxa" w:w="1728"/>
          </w:tcPr>
          <w:p>
            <w:r>
              <w:rPr>
                <w:sz w:val="18"/>
              </w:rPr>
              <w:t>A</w:t>
            </w:r>
          </w:p>
        </w:tc>
        <w:tc>
          <w:tcPr>
            <w:tcW w:type="dxa" w:w="1728"/>
          </w:tcPr>
          <w:p>
            <w:r>
              <w:rPr>
                <w:sz w:val="18"/>
              </w:rPr>
              <w:t>Depot-A</w:t>
            </w:r>
          </w:p>
        </w:tc>
      </w:tr>
      <w:tr>
        <w:tc>
          <w:tcPr>
            <w:tcW w:type="dxa" w:w="1728"/>
          </w:tcPr>
          <w:p>
            <w:r>
              <w:rPr>
                <w:sz w:val="18"/>
              </w:rPr>
              <w:t>2</w:t>
            </w:r>
          </w:p>
        </w:tc>
        <w:tc>
          <w:tcPr>
            <w:tcW w:type="dxa" w:w="1728"/>
          </w:tcPr>
          <w:p>
            <w:r>
              <w:rPr>
                <w:sz w:val="18"/>
              </w:rPr>
              <w:t>A</w:t>
            </w:r>
          </w:p>
        </w:tc>
        <w:tc>
          <w:tcPr>
            <w:tcW w:type="dxa" w:w="1728"/>
          </w:tcPr>
          <w:p>
            <w:r>
              <w:rPr>
                <w:sz w:val="18"/>
              </w:rPr>
              <w:t>B:4, C:5</w:t>
            </w:r>
          </w:p>
        </w:tc>
        <w:tc>
          <w:tcPr>
            <w:tcW w:type="dxa" w:w="1728"/>
          </w:tcPr>
          <w:p>
            <w:r>
              <w:rPr>
                <w:sz w:val="18"/>
              </w:rPr>
              <w:t>B</w:t>
            </w:r>
          </w:p>
        </w:tc>
        <w:tc>
          <w:tcPr>
            <w:tcW w:type="dxa" w:w="1728"/>
          </w:tcPr>
          <w:p>
            <w:r>
              <w:rPr>
                <w:sz w:val="18"/>
              </w:rPr>
              <w:t>Depot-A-B</w:t>
            </w:r>
          </w:p>
        </w:tc>
      </w:tr>
      <w:tr>
        <w:tc>
          <w:tcPr>
            <w:tcW w:type="dxa" w:w="1728"/>
          </w:tcPr>
          <w:p>
            <w:r>
              <w:rPr>
                <w:sz w:val="18"/>
              </w:rPr>
              <w:t>3</w:t>
            </w:r>
          </w:p>
        </w:tc>
        <w:tc>
          <w:tcPr>
            <w:tcW w:type="dxa" w:w="1728"/>
          </w:tcPr>
          <w:p>
            <w:r>
              <w:rPr>
                <w:sz w:val="18"/>
              </w:rPr>
              <w:t>B</w:t>
            </w:r>
          </w:p>
        </w:tc>
        <w:tc>
          <w:tcPr>
            <w:tcW w:type="dxa" w:w="1728"/>
          </w:tcPr>
          <w:p>
            <w:r>
              <w:rPr>
                <w:sz w:val="18"/>
              </w:rPr>
              <w:t>C:3</w:t>
            </w:r>
          </w:p>
        </w:tc>
        <w:tc>
          <w:tcPr>
            <w:tcW w:type="dxa" w:w="1728"/>
          </w:tcPr>
          <w:p>
            <w:r>
              <w:rPr>
                <w:sz w:val="18"/>
              </w:rPr>
              <w:t>C</w:t>
            </w:r>
          </w:p>
        </w:tc>
        <w:tc>
          <w:tcPr>
            <w:tcW w:type="dxa" w:w="1728"/>
          </w:tcPr>
          <w:p>
            <w:r>
              <w:rPr>
                <w:sz w:val="18"/>
              </w:rPr>
              <w:t>Depot-A-B-C</w:t>
            </w:r>
          </w:p>
        </w:tc>
      </w:tr>
      <w:tr>
        <w:tc>
          <w:tcPr>
            <w:tcW w:type="dxa" w:w="1728"/>
          </w:tcPr>
          <w:p>
            <w:r>
              <w:rPr>
                <w:sz w:val="18"/>
              </w:rPr>
              <w:t>4</w:t>
            </w:r>
          </w:p>
        </w:tc>
        <w:tc>
          <w:tcPr>
            <w:tcW w:type="dxa" w:w="1728"/>
          </w:tcPr>
          <w:p>
            <w:r>
              <w:rPr>
                <w:sz w:val="18"/>
              </w:rPr>
              <w:t>C</w:t>
            </w:r>
          </w:p>
        </w:tc>
        <w:tc>
          <w:tcPr>
            <w:tcW w:type="dxa" w:w="1728"/>
          </w:tcPr>
          <w:p>
            <w:r>
              <w:rPr>
                <w:sz w:val="18"/>
              </w:rPr>
              <w:t>(return)</w:t>
            </w:r>
          </w:p>
        </w:tc>
        <w:tc>
          <w:tcPr>
            <w:tcW w:type="dxa" w:w="1728"/>
          </w:tcPr>
          <w:p>
            <w:r>
              <w:rPr>
                <w:sz w:val="18"/>
              </w:rPr>
              <w:t>Depot</w:t>
            </w:r>
          </w:p>
        </w:tc>
        <w:tc>
          <w:tcPr>
            <w:tcW w:type="dxa" w:w="1728"/>
          </w:tcPr>
          <w:p>
            <w:r>
              <w:rPr>
                <w:sz w:val="18"/>
              </w:rPr>
              <w:t>Depot-A-B-C-Depot (=14)</w:t>
            </w:r>
          </w:p>
        </w:tc>
      </w:tr>
    </w:tbl>
    <w:p/>
    <w:p>
      <w:r>
        <w:t>On the larger seven-stop demonstration data set the Nearest Neighbour tour measures 26.21 units; 2-opt improves it to 26.10. The improvement is modest here because the demonstration points contain few crossings, but on larger, clustered instances 2-opt routinely yields double-digit percentage savings.</w:t>
      </w:r>
    </w:p>
    <w:p>
      <w:pPr>
        <w:jc w:val="center"/>
      </w:pPr>
      <w:r>
        <w:drawing>
          <wp:inline xmlns:a="http://schemas.openxmlformats.org/drawingml/2006/main" xmlns:pic="http://schemas.openxmlformats.org/drawingml/2006/picture">
            <wp:extent cx="3291840" cy="2433099"/>
            <wp:docPr id="1" name="Picture 1"/>
            <wp:cNvGraphicFramePr>
              <a:graphicFrameLocks noChangeAspect="1"/>
            </wp:cNvGraphicFramePr>
            <a:graphic>
              <a:graphicData uri="http://schemas.openxmlformats.org/drawingml/2006/picture">
                <pic:pic>
                  <pic:nvPicPr>
                    <pic:cNvPr id="0" name="chart_route.png"/>
                    <pic:cNvPicPr/>
                  </pic:nvPicPr>
                  <pic:blipFill>
                    <a:blip r:embed="rId9"/>
                    <a:stretch>
                      <a:fillRect/>
                    </a:stretch>
                  </pic:blipFill>
                  <pic:spPr>
                    <a:xfrm>
                      <a:off x="0" y="0"/>
                      <a:ext cx="3291840" cy="2433099"/>
                    </a:xfrm>
                    <a:prstGeom prst="rect"/>
                  </pic:spPr>
                </pic:pic>
              </a:graphicData>
            </a:graphic>
          </wp:inline>
        </w:drawing>
      </w:r>
    </w:p>
    <w:p>
      <w:pPr>
        <w:jc w:val="center"/>
      </w:pPr>
      <w:r>
        <w:rPr>
          <w:i/>
          <w:sz w:val="18"/>
        </w:rPr>
        <w:t>Figure 1. Tour length before and after 2-opt improvement on the seven-stop data set.</w:t>
      </w:r>
    </w:p>
    <w:p>
      <w:pPr>
        <w:jc w:val="center"/>
      </w:pPr>
      <w:r>
        <w:drawing>
          <wp:inline xmlns:a="http://schemas.openxmlformats.org/drawingml/2006/main" xmlns:pic="http://schemas.openxmlformats.org/drawingml/2006/picture">
            <wp:extent cx="4754880" cy="3803904"/>
            <wp:docPr id="2" name="Picture 2"/>
            <wp:cNvGraphicFramePr>
              <a:graphicFrameLocks noChangeAspect="1"/>
            </wp:cNvGraphicFramePr>
            <a:graphic>
              <a:graphicData uri="http://schemas.openxmlformats.org/drawingml/2006/picture">
                <pic:pic>
                  <pic:nvPicPr>
                    <pic:cNvPr id="0" name="gui_tab1.png"/>
                    <pic:cNvPicPr/>
                  </pic:nvPicPr>
                  <pic:blipFill>
                    <a:blip r:embed="rId10"/>
                    <a:stretch>
                      <a:fillRect/>
                    </a:stretch>
                  </pic:blipFill>
                  <pic:spPr>
                    <a:xfrm>
                      <a:off x="0" y="0"/>
                      <a:ext cx="4754880" cy="3803904"/>
                    </a:xfrm>
                    <a:prstGeom prst="rect"/>
                  </pic:spPr>
                </pic:pic>
              </a:graphicData>
            </a:graphic>
          </wp:inline>
        </w:drawing>
      </w:r>
    </w:p>
    <w:p>
      <w:pPr>
        <w:jc w:val="center"/>
      </w:pPr>
      <w:r>
        <w:rPr>
          <w:i/>
          <w:sz w:val="18"/>
        </w:rPr>
        <w:t>Figure 2. Graphical demonstrator (Tkinter) plotting the optimised delivery tour from the depot.</w:t>
      </w:r>
    </w:p>
    <w:p>
      <w:pPr>
        <w:pStyle w:val="Heading2"/>
      </w:pPr>
      <w:r>
        <w:t>2.3 Evaluation</w:t>
      </w:r>
    </w:p>
    <w:p>
      <w:r>
        <w:t>Building the distance matrix costs O(n^2) time and O(n^2) space. Nearest Neighbour performs n iterations, each scanning the unvisited set, giving O(n^2) time. Each 2-opt sweep evaluates every pair of edges - O(n^2) - and a constant-time gain calculation means a bounded number of sweeps keeps the practical cost at roughly O(n^2) to O(n^2 x sweeps). The empirical timing in Figure 3 confirms that Nearest Neighbour construction grows quadratically, tracking the O(n^2) reference curve closely. Compared with the alternatives, an exact solver (dynamic programming, Held-Karp) guarantees the optimum but costs O(n^2 x 2^n) time, which is impractical beyond about 20 stops, while a pure Nearest Neighbour solution is fast but can be 25% or more above optimal. The chosen hybrid is justified because it retains near-linear practical speed for realistic delivery sizes while measurably improving route quality.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Approach</w:t>
            </w:r>
          </w:p>
        </w:tc>
        <w:tc>
          <w:tcPr>
            <w:tcW w:type="dxa" w:w="2160"/>
          </w:tcPr>
          <w:p>
            <w:r>
              <w:rPr>
                <w:b/>
                <w:sz w:val="18"/>
              </w:rPr>
              <w:t>Time</w:t>
            </w:r>
          </w:p>
        </w:tc>
        <w:tc>
          <w:tcPr>
            <w:tcW w:type="dxa" w:w="2160"/>
          </w:tcPr>
          <w:p>
            <w:r>
              <w:rPr>
                <w:b/>
                <w:sz w:val="18"/>
              </w:rPr>
              <w:t>Space</w:t>
            </w:r>
          </w:p>
        </w:tc>
        <w:tc>
          <w:tcPr>
            <w:tcW w:type="dxa" w:w="2160"/>
          </w:tcPr>
          <w:p>
            <w:r>
              <w:rPr>
                <w:b/>
                <w:sz w:val="18"/>
              </w:rPr>
              <w:t>Solution quality</w:t>
            </w:r>
          </w:p>
        </w:tc>
      </w:tr>
      <w:tr>
        <w:tc>
          <w:tcPr>
            <w:tcW w:type="dxa" w:w="2160"/>
          </w:tcPr>
          <w:p>
            <w:r>
              <w:rPr>
                <w:sz w:val="18"/>
              </w:rPr>
              <w:t>Brute force / Held-Karp</w:t>
            </w:r>
          </w:p>
        </w:tc>
        <w:tc>
          <w:tcPr>
            <w:tcW w:type="dxa" w:w="2160"/>
          </w:tcPr>
          <w:p>
            <w:r>
              <w:rPr>
                <w:sz w:val="18"/>
              </w:rPr>
              <w:t>O(n^2 * 2^n)</w:t>
            </w:r>
          </w:p>
        </w:tc>
        <w:tc>
          <w:tcPr>
            <w:tcW w:type="dxa" w:w="2160"/>
          </w:tcPr>
          <w:p>
            <w:r>
              <w:rPr>
                <w:sz w:val="18"/>
              </w:rPr>
              <w:t>O(n * 2^n)</w:t>
            </w:r>
          </w:p>
        </w:tc>
        <w:tc>
          <w:tcPr>
            <w:tcW w:type="dxa" w:w="2160"/>
          </w:tcPr>
          <w:p>
            <w:r>
              <w:rPr>
                <w:sz w:val="18"/>
              </w:rPr>
              <w:t>Optimal</w:t>
            </w:r>
          </w:p>
        </w:tc>
      </w:tr>
      <w:tr>
        <w:tc>
          <w:tcPr>
            <w:tcW w:type="dxa" w:w="2160"/>
          </w:tcPr>
          <w:p>
            <w:r>
              <w:rPr>
                <w:sz w:val="18"/>
              </w:rPr>
              <w:t>Nearest Neighbour only</w:t>
            </w:r>
          </w:p>
        </w:tc>
        <w:tc>
          <w:tcPr>
            <w:tcW w:type="dxa" w:w="2160"/>
          </w:tcPr>
          <w:p>
            <w:r>
              <w:rPr>
                <w:sz w:val="18"/>
              </w:rPr>
              <w:t>O(n^2)</w:t>
            </w:r>
          </w:p>
        </w:tc>
        <w:tc>
          <w:tcPr>
            <w:tcW w:type="dxa" w:w="2160"/>
          </w:tcPr>
          <w:p>
            <w:r>
              <w:rPr>
                <w:sz w:val="18"/>
              </w:rPr>
              <w:t>O(n^2)</w:t>
            </w:r>
          </w:p>
        </w:tc>
        <w:tc>
          <w:tcPr>
            <w:tcW w:type="dxa" w:w="2160"/>
          </w:tcPr>
          <w:p>
            <w:r>
              <w:rPr>
                <w:sz w:val="18"/>
              </w:rPr>
              <w:t>~25% above optimal</w:t>
            </w:r>
          </w:p>
        </w:tc>
      </w:tr>
      <w:tr>
        <w:tc>
          <w:tcPr>
            <w:tcW w:type="dxa" w:w="2160"/>
          </w:tcPr>
          <w:p>
            <w:r>
              <w:rPr>
                <w:sz w:val="18"/>
              </w:rPr>
              <w:t>NN + 2-opt (chosen)</w:t>
            </w:r>
          </w:p>
        </w:tc>
        <w:tc>
          <w:tcPr>
            <w:tcW w:type="dxa" w:w="2160"/>
          </w:tcPr>
          <w:p>
            <w:r>
              <w:rPr>
                <w:sz w:val="18"/>
              </w:rPr>
              <w:t>O(n^2) per sweep</w:t>
            </w:r>
          </w:p>
        </w:tc>
        <w:tc>
          <w:tcPr>
            <w:tcW w:type="dxa" w:w="2160"/>
          </w:tcPr>
          <w:p>
            <w:r>
              <w:rPr>
                <w:sz w:val="18"/>
              </w:rPr>
              <w:t>O(n^2)</w:t>
            </w:r>
          </w:p>
        </w:tc>
        <w:tc>
          <w:tcPr>
            <w:tcW w:type="dxa" w:w="2160"/>
          </w:tcPr>
          <w:p>
            <w:r>
              <w:rPr>
                <w:sz w:val="18"/>
              </w:rPr>
              <w:t>Typically &lt;5% above optimal</w:t>
            </w:r>
          </w:p>
        </w:tc>
      </w:tr>
    </w:tbl>
    <w:p/>
    <w:p>
      <w:pPr>
        <w:jc w:val="center"/>
      </w:pPr>
      <w:r>
        <w:drawing>
          <wp:inline xmlns:a="http://schemas.openxmlformats.org/drawingml/2006/main" xmlns:pic="http://schemas.openxmlformats.org/drawingml/2006/picture">
            <wp:extent cx="4754880" cy="2852928"/>
            <wp:docPr id="3" name="Picture 3"/>
            <wp:cNvGraphicFramePr>
              <a:graphicFrameLocks noChangeAspect="1"/>
            </wp:cNvGraphicFramePr>
            <a:graphic>
              <a:graphicData uri="http://schemas.openxmlformats.org/drawingml/2006/picture">
                <pic:pic>
                  <pic:nvPicPr>
                    <pic:cNvPr id="0" name="chart_scaling.png"/>
                    <pic:cNvPicPr/>
                  </pic:nvPicPr>
                  <pic:blipFill>
                    <a:blip r:embed="rId11"/>
                    <a:stretch>
                      <a:fillRect/>
                    </a:stretch>
                  </pic:blipFill>
                  <pic:spPr>
                    <a:xfrm>
                      <a:off x="0" y="0"/>
                      <a:ext cx="4754880" cy="2852928"/>
                    </a:xfrm>
                    <a:prstGeom prst="rect"/>
                  </pic:spPr>
                </pic:pic>
              </a:graphicData>
            </a:graphic>
          </wp:inline>
        </w:drawing>
      </w:r>
    </w:p>
    <w:p>
      <w:pPr>
        <w:jc w:val="center"/>
      </w:pPr>
      <w:r>
        <w:rPr>
          <w:i/>
          <w:sz w:val="18"/>
        </w:rPr>
        <w:t>Figure 3. Measured Nearest-Neighbour construction time against an O(n^2) reference curve.</w:t>
      </w:r>
    </w:p>
    <w:p>
      <w:pPr>
        <w:pStyle w:val="Heading2"/>
      </w:pPr>
      <w:r>
        <w:t>2.4 Reflection and Improvements</w:t>
      </w:r>
    </w:p>
    <w:p>
      <w:r>
        <w:t>For very large instances the O(n^2) distance matrix dominates memory; a spatial index such as a k-d tree would allow nearest-neighbour queries without storing every pairwise distance. Route quality could be improved further with Or-opt or Lin-Kernighan moves, or by seeding several Nearest Neighbour tours from different depots and keeping the best. Edge cases already handled include duplicate location names (rejected) and fewer than two locations (rejected); a production system would also need asymmetric costs (one-way streets) and time-window constraints, turning the problem into a richer vehicle-routing problem.</w:t>
      </w:r>
    </w:p>
    <w:p>
      <w:pPr>
        <w:pStyle w:val="Heading1"/>
      </w:pPr>
      <w:r>
        <w:t>3. Problem 2 - Dynamic Resource Allocation</w:t>
      </w:r>
    </w:p>
    <w:p>
      <w:pPr>
        <w:pStyle w:val="Heading2"/>
      </w:pPr>
      <w:r>
        <w:t>3.1 Problem Analysis</w:t>
      </w:r>
    </w:p>
    <w:p>
      <w:r>
        <w:t>A task manager must assign a limited pool of interchangeable computing resources - for example CPU cores - to incoming processes according to a scheduling policy. Each process has an arrival time, a burst (service) time and a priority. The objective is to order execution so as to optimise measures such as average waiting time and average turnaround time. Different policies favour different goals: fairness, throughput, or responsiveness. The core data-structure question is how to select the next process to run efficiently. A naive scan of all ready processes is O(n) per decision, whereas a binary heap (priority queue) yields the highest-priority or shortest job in O(log n), which matters when many processes are ready at once. This problem therefore showcases heaps and demonstrates how the same abstract scheduling contract can be realised by several interchangeable policies.</w:t>
      </w:r>
    </w:p>
    <w:p>
      <w:pPr>
        <w:pStyle w:val="Heading2"/>
      </w:pPr>
      <w:r>
        <w:t>3.2 Algorithm Design</w:t>
      </w:r>
    </w:p>
    <w:p>
      <w:r>
        <w:t>The design centres on an abstract Scheduler base class that defines the run() contract and shared reporting logic; four concrete policies inherit from it and override selection behaviour, an example of polymorphism. First-Come-First-Served orders by arrival; Shortest Job First and Priority scheduling use a min-heap keyed on burst time and priority respectively; Round Robin time-slices processes with a fixed quantum. The pseudocode for the heap-based non-preemptive policies is shown below.</w:t>
      </w:r>
    </w:p>
    <w:p>
      <w:pPr>
        <w:spacing w:before="80" w:after="160"/>
        <w:ind w:left="288"/>
        <w:shd w:val="clear" w:fill="F2F2F2"/>
      </w:pPr>
      <w:r>
        <w:rPr>
          <w:rFonts w:ascii="Consolas" w:hAnsi="Consolas"/>
          <w:sz w:val="18"/>
        </w:rPr>
        <w:t>FUNCTION HeapSchedule(processes, key):        # key = burst  (SJF)</w:t>
        <w:br/>
        <w:t xml:space="preserve">    pending &lt;- processes sorted by arrival     #     or priority (Priority)</w:t>
        <w:br/>
        <w:t xml:space="preserve">    ready &lt;- empty min-heap;  clock &lt;- 0;  done &lt;- []</w:t>
        <w:br/>
        <w:t xml:space="preserve">    WHILE pending not empty OR ready not empty:</w:t>
        <w:br/>
        <w:t xml:space="preserve">        move every process with arrival &lt;= clock from pending into ready</w:t>
        <w:br/>
        <w:t xml:space="preserve">        IF ready is empty:</w:t>
        <w:br/>
        <w:t xml:space="preserve">            clock &lt;- arrival time of next pending process;  CONTINUE</w:t>
        <w:br/>
        <w:t xml:space="preserve">        p &lt;- pop process with smallest key from ready     # O(log n)</w:t>
        <w:br/>
        <w:t xml:space="preserve">        p.start &lt;- clock;  clock &lt;- clock + p.burst;  p.finish &lt;- clock</w:t>
        <w:br/>
        <w:t xml:space="preserve">        append p to done</w:t>
        <w:br/>
        <w:t xml:space="preserve">    RETURN done</w:t>
      </w:r>
    </w:p>
    <w:p>
      <w:r>
        <w:t>Dry run. Four processes arrive: P1(arrival 0, burst 7), P2(2,4), P3(4,1), P4(5,4). Under Shortest Job First, P1 is the only process present at t=0 so it runs to t=7; by then P2, P3 and P4 are all ready, and the heap returns the shortest, P3 (burst 1), then P2 (burst 4), then P4. The completion order is P1, P3, P2, P4 with an average waiting time of 4.00, compared with 4.75 for First-Come-First-Served on the same workload - a clear illustration of why SJF minimises mean waiting time.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Policy</w:t>
            </w:r>
          </w:p>
        </w:tc>
        <w:tc>
          <w:tcPr>
            <w:tcW w:type="dxa" w:w="2160"/>
          </w:tcPr>
          <w:p>
            <w:r>
              <w:rPr>
                <w:b/>
                <w:sz w:val="18"/>
              </w:rPr>
              <w:t>Completion order</w:t>
            </w:r>
          </w:p>
        </w:tc>
        <w:tc>
          <w:tcPr>
            <w:tcW w:type="dxa" w:w="2160"/>
          </w:tcPr>
          <w:p>
            <w:r>
              <w:rPr>
                <w:b/>
                <w:sz w:val="18"/>
              </w:rPr>
              <w:t>Avg waiting</w:t>
            </w:r>
          </w:p>
        </w:tc>
        <w:tc>
          <w:tcPr>
            <w:tcW w:type="dxa" w:w="2160"/>
          </w:tcPr>
          <w:p>
            <w:r>
              <w:rPr>
                <w:b/>
                <w:sz w:val="18"/>
              </w:rPr>
              <w:t>Avg turnaround</w:t>
            </w:r>
          </w:p>
        </w:tc>
      </w:tr>
      <w:tr>
        <w:tc>
          <w:tcPr>
            <w:tcW w:type="dxa" w:w="2160"/>
          </w:tcPr>
          <w:p>
            <w:r>
              <w:rPr>
                <w:sz w:val="18"/>
              </w:rPr>
              <w:t>FCFS</w:t>
            </w:r>
          </w:p>
        </w:tc>
        <w:tc>
          <w:tcPr>
            <w:tcW w:type="dxa" w:w="2160"/>
          </w:tcPr>
          <w:p>
            <w:r>
              <w:rPr>
                <w:sz w:val="18"/>
              </w:rPr>
              <w:t>P1, P2, P3, P4</w:t>
            </w:r>
          </w:p>
        </w:tc>
        <w:tc>
          <w:tcPr>
            <w:tcW w:type="dxa" w:w="2160"/>
          </w:tcPr>
          <w:p>
            <w:r>
              <w:rPr>
                <w:sz w:val="18"/>
              </w:rPr>
              <w:t>4.75</w:t>
            </w:r>
          </w:p>
        </w:tc>
        <w:tc>
          <w:tcPr>
            <w:tcW w:type="dxa" w:w="2160"/>
          </w:tcPr>
          <w:p>
            <w:r>
              <w:rPr>
                <w:sz w:val="18"/>
              </w:rPr>
              <w:t>8.75</w:t>
            </w:r>
          </w:p>
        </w:tc>
      </w:tr>
      <w:tr>
        <w:tc>
          <w:tcPr>
            <w:tcW w:type="dxa" w:w="2160"/>
          </w:tcPr>
          <w:p>
            <w:r>
              <w:rPr>
                <w:sz w:val="18"/>
              </w:rPr>
              <w:t>SJF</w:t>
            </w:r>
          </w:p>
        </w:tc>
        <w:tc>
          <w:tcPr>
            <w:tcW w:type="dxa" w:w="2160"/>
          </w:tcPr>
          <w:p>
            <w:r>
              <w:rPr>
                <w:sz w:val="18"/>
              </w:rPr>
              <w:t>P1, P3, P2, P4</w:t>
            </w:r>
          </w:p>
        </w:tc>
        <w:tc>
          <w:tcPr>
            <w:tcW w:type="dxa" w:w="2160"/>
          </w:tcPr>
          <w:p>
            <w:r>
              <w:rPr>
                <w:sz w:val="18"/>
              </w:rPr>
              <w:t>4.00</w:t>
            </w:r>
          </w:p>
        </w:tc>
        <w:tc>
          <w:tcPr>
            <w:tcW w:type="dxa" w:w="2160"/>
          </w:tcPr>
          <w:p>
            <w:r>
              <w:rPr>
                <w:sz w:val="18"/>
              </w:rPr>
              <w:t>8.00</w:t>
            </w:r>
          </w:p>
        </w:tc>
      </w:tr>
      <w:tr>
        <w:tc>
          <w:tcPr>
            <w:tcW w:type="dxa" w:w="2160"/>
          </w:tcPr>
          <w:p>
            <w:r>
              <w:rPr>
                <w:sz w:val="18"/>
              </w:rPr>
              <w:t>Priority</w:t>
            </w:r>
          </w:p>
        </w:tc>
        <w:tc>
          <w:tcPr>
            <w:tcW w:type="dxa" w:w="2160"/>
          </w:tcPr>
          <w:p>
            <w:r>
              <w:rPr>
                <w:sz w:val="18"/>
              </w:rPr>
              <w:t>P1, P2, P4, P3</w:t>
            </w:r>
          </w:p>
        </w:tc>
        <w:tc>
          <w:tcPr>
            <w:tcW w:type="dxa" w:w="2160"/>
          </w:tcPr>
          <w:p>
            <w:r>
              <w:rPr>
                <w:sz w:val="18"/>
              </w:rPr>
              <w:t>5.50</w:t>
            </w:r>
          </w:p>
        </w:tc>
        <w:tc>
          <w:tcPr>
            <w:tcW w:type="dxa" w:w="2160"/>
          </w:tcPr>
          <w:p>
            <w:r>
              <w:rPr>
                <w:sz w:val="18"/>
              </w:rPr>
              <w:t>9.50</w:t>
            </w:r>
          </w:p>
        </w:tc>
      </w:tr>
      <w:tr>
        <w:tc>
          <w:tcPr>
            <w:tcW w:type="dxa" w:w="2160"/>
          </w:tcPr>
          <w:p>
            <w:r>
              <w:rPr>
                <w:sz w:val="18"/>
              </w:rPr>
              <w:t>Round Robin (q=2)</w:t>
            </w:r>
          </w:p>
        </w:tc>
        <w:tc>
          <w:tcPr>
            <w:tcW w:type="dxa" w:w="2160"/>
          </w:tcPr>
          <w:p>
            <w:r>
              <w:rPr>
                <w:sz w:val="18"/>
              </w:rPr>
              <w:t>P3, P2, P4, P1</w:t>
            </w:r>
          </w:p>
        </w:tc>
        <w:tc>
          <w:tcPr>
            <w:tcW w:type="dxa" w:w="2160"/>
          </w:tcPr>
          <w:p>
            <w:r>
              <w:rPr>
                <w:sz w:val="18"/>
              </w:rPr>
              <w:t>5.00</w:t>
            </w:r>
          </w:p>
        </w:tc>
        <w:tc>
          <w:tcPr>
            <w:tcW w:type="dxa" w:w="2160"/>
          </w:tcPr>
          <w:p>
            <w:r>
              <w:rPr>
                <w:sz w:val="18"/>
              </w:rPr>
              <w:t>9.00</w:t>
            </w:r>
          </w:p>
        </w:tc>
      </w:tr>
    </w:tbl>
    <w:p/>
    <w:p>
      <w:pPr>
        <w:jc w:val="center"/>
      </w:pPr>
      <w:r>
        <w:drawing>
          <wp:inline xmlns:a="http://schemas.openxmlformats.org/drawingml/2006/main" xmlns:pic="http://schemas.openxmlformats.org/drawingml/2006/picture">
            <wp:extent cx="4754880" cy="2760898"/>
            <wp:docPr id="4" name="Picture 4"/>
            <wp:cNvGraphicFramePr>
              <a:graphicFrameLocks noChangeAspect="1"/>
            </wp:cNvGraphicFramePr>
            <a:graphic>
              <a:graphicData uri="http://schemas.openxmlformats.org/drawingml/2006/picture">
                <pic:pic>
                  <pic:nvPicPr>
                    <pic:cNvPr id="0" name="chart_schedulers.png"/>
                    <pic:cNvPicPr/>
                  </pic:nvPicPr>
                  <pic:blipFill>
                    <a:blip r:embed="rId12"/>
                    <a:stretch>
                      <a:fillRect/>
                    </a:stretch>
                  </pic:blipFill>
                  <pic:spPr>
                    <a:xfrm>
                      <a:off x="0" y="0"/>
                      <a:ext cx="4754880" cy="2760898"/>
                    </a:xfrm>
                    <a:prstGeom prst="rect"/>
                  </pic:spPr>
                </pic:pic>
              </a:graphicData>
            </a:graphic>
          </wp:inline>
        </w:drawing>
      </w:r>
    </w:p>
    <w:p>
      <w:pPr>
        <w:jc w:val="center"/>
      </w:pPr>
      <w:r>
        <w:rPr>
          <w:i/>
          <w:sz w:val="18"/>
        </w:rPr>
        <w:t>Figure 4. Average waiting and turnaround time for each scheduling policy on the sample workload.</w:t>
      </w:r>
    </w:p>
    <w:p>
      <w:pPr>
        <w:pStyle w:val="Heading2"/>
      </w:pPr>
      <w:r>
        <w:t>3.3 Evaluation</w:t>
      </w:r>
    </w:p>
    <w:p>
      <w:r>
        <w:t>Sorting the arrival order costs O(n log n); thereafter each process is inserted into and removed from the heap once, at O(log n) each, so the heap-based policies run in O(n log n) overall with O(n) space. First-Come-First-Served needs only a sort and is also O(n log n). Round Robin processes each quantum in turn; with total service time T and quantum q it performs O(T/q) slices, so its cost depends on the workload rather than n alone. As the results show, Shortest Job First achieves the lowest average waiting time, which is a known optimal property for non-preemptive scheduling on a single resource (Silberschatz et al., 2018), but it risks starving long jobs and requires burst times to be known in advance. Priority scheduling is flexible but can also starve low-priority work, while Round Robin guarantees responsiveness and fairness at the cost of higher average turnaround. The abstract-base-class design is justified because it lets these trade-offs be compared on identical data through a single interface.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Policy</w:t>
            </w:r>
          </w:p>
        </w:tc>
        <w:tc>
          <w:tcPr>
            <w:tcW w:type="dxa" w:w="2160"/>
          </w:tcPr>
          <w:p>
            <w:r>
              <w:rPr>
                <w:b/>
                <w:sz w:val="18"/>
              </w:rPr>
              <w:t>Time</w:t>
            </w:r>
          </w:p>
        </w:tc>
        <w:tc>
          <w:tcPr>
            <w:tcW w:type="dxa" w:w="2160"/>
          </w:tcPr>
          <w:p>
            <w:r>
              <w:rPr>
                <w:b/>
                <w:sz w:val="18"/>
              </w:rPr>
              <w:t>Space</w:t>
            </w:r>
          </w:p>
        </w:tc>
        <w:tc>
          <w:tcPr>
            <w:tcW w:type="dxa" w:w="2160"/>
          </w:tcPr>
          <w:p>
            <w:r>
              <w:rPr>
                <w:b/>
                <w:sz w:val="18"/>
              </w:rPr>
              <w:t>Best for</w:t>
            </w:r>
          </w:p>
        </w:tc>
      </w:tr>
      <w:tr>
        <w:tc>
          <w:tcPr>
            <w:tcW w:type="dxa" w:w="2160"/>
          </w:tcPr>
          <w:p>
            <w:r>
              <w:rPr>
                <w:sz w:val="18"/>
              </w:rPr>
              <w:t>FCFS</w:t>
            </w:r>
          </w:p>
        </w:tc>
        <w:tc>
          <w:tcPr>
            <w:tcW w:type="dxa" w:w="2160"/>
          </w:tcPr>
          <w:p>
            <w:r>
              <w:rPr>
                <w:sz w:val="18"/>
              </w:rPr>
              <w:t>O(n log n)</w:t>
            </w:r>
          </w:p>
        </w:tc>
        <w:tc>
          <w:tcPr>
            <w:tcW w:type="dxa" w:w="2160"/>
          </w:tcPr>
          <w:p>
            <w:r>
              <w:rPr>
                <w:sz w:val="18"/>
              </w:rPr>
              <w:t>O(n)</w:t>
            </w:r>
          </w:p>
        </w:tc>
        <w:tc>
          <w:tcPr>
            <w:tcW w:type="dxa" w:w="2160"/>
          </w:tcPr>
          <w:p>
            <w:r>
              <w:rPr>
                <w:sz w:val="18"/>
              </w:rPr>
              <w:t>Simplicity, fairness by arrival</w:t>
            </w:r>
          </w:p>
        </w:tc>
      </w:tr>
      <w:tr>
        <w:tc>
          <w:tcPr>
            <w:tcW w:type="dxa" w:w="2160"/>
          </w:tcPr>
          <w:p>
            <w:r>
              <w:rPr>
                <w:sz w:val="18"/>
              </w:rPr>
              <w:t>SJF (heap)</w:t>
            </w:r>
          </w:p>
        </w:tc>
        <w:tc>
          <w:tcPr>
            <w:tcW w:type="dxa" w:w="2160"/>
          </w:tcPr>
          <w:p>
            <w:r>
              <w:rPr>
                <w:sz w:val="18"/>
              </w:rPr>
              <w:t>O(n log n)</w:t>
            </w:r>
          </w:p>
        </w:tc>
        <w:tc>
          <w:tcPr>
            <w:tcW w:type="dxa" w:w="2160"/>
          </w:tcPr>
          <w:p>
            <w:r>
              <w:rPr>
                <w:sz w:val="18"/>
              </w:rPr>
              <w:t>O(n)</w:t>
            </w:r>
          </w:p>
        </w:tc>
        <w:tc>
          <w:tcPr>
            <w:tcW w:type="dxa" w:w="2160"/>
          </w:tcPr>
          <w:p>
            <w:r>
              <w:rPr>
                <w:sz w:val="18"/>
              </w:rPr>
              <w:t>Minimum average waiting time</w:t>
            </w:r>
          </w:p>
        </w:tc>
      </w:tr>
      <w:tr>
        <w:tc>
          <w:tcPr>
            <w:tcW w:type="dxa" w:w="2160"/>
          </w:tcPr>
          <w:p>
            <w:r>
              <w:rPr>
                <w:sz w:val="18"/>
              </w:rPr>
              <w:t>Priority (heap)</w:t>
            </w:r>
          </w:p>
        </w:tc>
        <w:tc>
          <w:tcPr>
            <w:tcW w:type="dxa" w:w="2160"/>
          </w:tcPr>
          <w:p>
            <w:r>
              <w:rPr>
                <w:sz w:val="18"/>
              </w:rPr>
              <w:t>O(n log n)</w:t>
            </w:r>
          </w:p>
        </w:tc>
        <w:tc>
          <w:tcPr>
            <w:tcW w:type="dxa" w:w="2160"/>
          </w:tcPr>
          <w:p>
            <w:r>
              <w:rPr>
                <w:sz w:val="18"/>
              </w:rPr>
              <w:t>O(n)</w:t>
            </w:r>
          </w:p>
        </w:tc>
        <w:tc>
          <w:tcPr>
            <w:tcW w:type="dxa" w:w="2160"/>
          </w:tcPr>
          <w:p>
            <w:r>
              <w:rPr>
                <w:sz w:val="18"/>
              </w:rPr>
              <w:t>Importance-based ordering</w:t>
            </w:r>
          </w:p>
        </w:tc>
      </w:tr>
      <w:tr>
        <w:tc>
          <w:tcPr>
            <w:tcW w:type="dxa" w:w="2160"/>
          </w:tcPr>
          <w:p>
            <w:r>
              <w:rPr>
                <w:sz w:val="18"/>
              </w:rPr>
              <w:t>Round Robin</w:t>
            </w:r>
          </w:p>
        </w:tc>
        <w:tc>
          <w:tcPr>
            <w:tcW w:type="dxa" w:w="2160"/>
          </w:tcPr>
          <w:p>
            <w:r>
              <w:rPr>
                <w:sz w:val="18"/>
              </w:rPr>
              <w:t>O(T/q)</w:t>
            </w:r>
          </w:p>
        </w:tc>
        <w:tc>
          <w:tcPr>
            <w:tcW w:type="dxa" w:w="2160"/>
          </w:tcPr>
          <w:p>
            <w:r>
              <w:rPr>
                <w:sz w:val="18"/>
              </w:rPr>
              <w:t>O(n)</w:t>
            </w:r>
          </w:p>
        </w:tc>
        <w:tc>
          <w:tcPr>
            <w:tcW w:type="dxa" w:w="2160"/>
          </w:tcPr>
          <w:p>
            <w:r>
              <w:rPr>
                <w:sz w:val="18"/>
              </w:rPr>
              <w:t>Responsiveness, no starvation</w:t>
            </w:r>
          </w:p>
        </w:tc>
      </w:tr>
    </w:tbl>
    <w:p/>
    <w:p>
      <w:pPr>
        <w:pStyle w:val="Heading2"/>
      </w:pPr>
      <w:r>
        <w:t>3.4 Reflection and Improvements</w:t>
      </w:r>
    </w:p>
    <w:p>
      <w:r>
        <w:t>The current schedulers model a single resource unit; extending to the multi-core case would mean tracking several concurrent execution timelines and releasing resources back to the pool as jobs finish - the ResourcePool class already encapsulates capacity to support this. Starvation in SJF and Priority scheduling could be mitigated with ageing, gradually raising the priority of long-waiting jobs. Preemptive variants (Shortest Remaining Time First) would further reduce waiting time when bursts are uncertain. Edge cases handled include rejecting non-positive burst times and preventing the resource pool from being over-allocated or over-released.</w:t>
      </w:r>
    </w:p>
    <w:p>
      <w:pPr>
        <w:pStyle w:val="Heading1"/>
      </w:pPr>
      <w:r>
        <w:t>4. Problem 5 - Recommendation Engine for a Bookstore</w:t>
      </w:r>
    </w:p>
    <w:p>
      <w:pPr>
        <w:pStyle w:val="Heading2"/>
      </w:pPr>
      <w:r>
        <w:t>4.1 Problem Analysis</w:t>
      </w:r>
    </w:p>
    <w:p>
      <w:r>
        <w:t>The task is to recommend books to a reader based on the reading habits of other users. This is a recommendation problem best addressed with collaborative filtering, which assumes that people who agreed in the past will agree in the future (Ricci et al., 2015). The essential relationship - which user has read which books - is naturally modelled as a mapping from each user to a set of book identifiers. Sets are the ideal structure because the similarity between two users can be expressed directly as a set operation, and dictionaries give O(1) lookup of any user or book by identifier. The similarity measure chosen is the Jaccard index, the size of the intersection of two users' book sets divided by the size of their union, which is simple, bounded between 0 and 1, and well suited to the binary 'has read / has not read' data available.</w:t>
      </w:r>
    </w:p>
    <w:p>
      <w:pPr>
        <w:pStyle w:val="Heading2"/>
      </w:pPr>
      <w:r>
        <w:t>4.2 Algorithm Design</w:t>
      </w:r>
    </w:p>
    <w:p>
      <w:r>
        <w:t>To recommend books for a target user, the engine computes the Jaccard similarity between that user and every other user, then scores each unread book by summing the similarities of the users who have read it. Books that are popular among close neighbours therefore rise to the top. The pseudocode is shown below.</w:t>
      </w:r>
    </w:p>
    <w:p>
      <w:pPr>
        <w:spacing w:before="80" w:after="160"/>
        <w:ind w:left="288"/>
        <w:shd w:val="clear" w:fill="F2F2F2"/>
      </w:pPr>
      <w:r>
        <w:rPr>
          <w:rFonts w:ascii="Consolas" w:hAnsi="Consolas"/>
          <w:sz w:val="18"/>
        </w:rPr>
        <w:t>FUNCTION Recommend(target, users, limit):</w:t>
        <w:br/>
        <w:t xml:space="preserve">    scores &lt;- empty map (book -&gt; number)</w:t>
        <w:br/>
        <w:t xml:space="preserve">    FOR each other IN users, other != target:</w:t>
        <w:br/>
        <w:t xml:space="preserve">        sim &lt;- |target.read AND other.read| / |target.read OR other.read|</w:t>
        <w:br/>
        <w:t xml:space="preserve">        IF sim &gt; 0:</w:t>
        <w:br/>
        <w:t xml:space="preserve">            FOR each book IN other.read:</w:t>
        <w:br/>
        <w:t xml:space="preserve">                IF book NOT IN target.read:</w:t>
        <w:br/>
        <w:t xml:space="preserve">                    scores[book] &lt;- scores[book] + sim</w:t>
        <w:br/>
        <w:t xml:space="preserve">    RETURN top 'limit' books by score (descending)</w:t>
      </w:r>
    </w:p>
    <w:p>
      <w:r>
        <w:t>Dry run. The target reader 'Dev' has read Clean Code (b1), Introduction to Algorithms (b3) and Deep Learning (b4). 'Ann' has read b1, The Pragmatic Programmer (b2) and b3, giving an intersection of {b1, b3} and a union of {b1, b2, b3, b4}, so their Jaccard similarity is 2/4 = 0.5. 'Ben' (b1, b2, b4) is likewise 0.5 and 'Cara' (b3, b4, b6) is also 0.5. The Pragmatic Programmer (b2) is unread by Dev and appears in the sets of both Ann and Ben, so it accumulates 0.5 + 0.5 = 1.0 and is recommended first; Dune (b6), read only by Cara, scores 0.5 and comes second. This matches the engine's output shown in Figure 5.</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Neighbour</w:t>
            </w:r>
          </w:p>
        </w:tc>
        <w:tc>
          <w:tcPr>
            <w:tcW w:type="dxa" w:w="2160"/>
          </w:tcPr>
          <w:p>
            <w:r>
              <w:rPr>
                <w:b/>
                <w:sz w:val="18"/>
              </w:rPr>
              <w:t>Their books</w:t>
            </w:r>
          </w:p>
        </w:tc>
        <w:tc>
          <w:tcPr>
            <w:tcW w:type="dxa" w:w="2160"/>
          </w:tcPr>
          <w:p>
            <w:r>
              <w:rPr>
                <w:b/>
                <w:sz w:val="18"/>
              </w:rPr>
              <w:t>Intersection with Dev</w:t>
            </w:r>
          </w:p>
        </w:tc>
        <w:tc>
          <w:tcPr>
            <w:tcW w:type="dxa" w:w="2160"/>
          </w:tcPr>
          <w:p>
            <w:r>
              <w:rPr>
                <w:b/>
                <w:sz w:val="18"/>
              </w:rPr>
              <w:t>Jaccard</w:t>
            </w:r>
          </w:p>
        </w:tc>
      </w:tr>
      <w:tr>
        <w:tc>
          <w:tcPr>
            <w:tcW w:type="dxa" w:w="2160"/>
          </w:tcPr>
          <w:p>
            <w:r>
              <w:rPr>
                <w:sz w:val="18"/>
              </w:rPr>
              <w:t>Ann</w:t>
            </w:r>
          </w:p>
        </w:tc>
        <w:tc>
          <w:tcPr>
            <w:tcW w:type="dxa" w:w="2160"/>
          </w:tcPr>
          <w:p>
            <w:r>
              <w:rPr>
                <w:sz w:val="18"/>
              </w:rPr>
              <w:t>b1, b2, b3</w:t>
            </w:r>
          </w:p>
        </w:tc>
        <w:tc>
          <w:tcPr>
            <w:tcW w:type="dxa" w:w="2160"/>
          </w:tcPr>
          <w:p>
            <w:r>
              <w:rPr>
                <w:sz w:val="18"/>
              </w:rPr>
              <w:t>b1, b3</w:t>
            </w:r>
          </w:p>
        </w:tc>
        <w:tc>
          <w:tcPr>
            <w:tcW w:type="dxa" w:w="2160"/>
          </w:tcPr>
          <w:p>
            <w:r>
              <w:rPr>
                <w:sz w:val="18"/>
              </w:rPr>
              <w:t>2/4 = 0.50</w:t>
            </w:r>
          </w:p>
        </w:tc>
      </w:tr>
      <w:tr>
        <w:tc>
          <w:tcPr>
            <w:tcW w:type="dxa" w:w="2160"/>
          </w:tcPr>
          <w:p>
            <w:r>
              <w:rPr>
                <w:sz w:val="18"/>
              </w:rPr>
              <w:t>Ben</w:t>
            </w:r>
          </w:p>
        </w:tc>
        <w:tc>
          <w:tcPr>
            <w:tcW w:type="dxa" w:w="2160"/>
          </w:tcPr>
          <w:p>
            <w:r>
              <w:rPr>
                <w:sz w:val="18"/>
              </w:rPr>
              <w:t>b1, b2, b4</w:t>
            </w:r>
          </w:p>
        </w:tc>
        <w:tc>
          <w:tcPr>
            <w:tcW w:type="dxa" w:w="2160"/>
          </w:tcPr>
          <w:p>
            <w:r>
              <w:rPr>
                <w:sz w:val="18"/>
              </w:rPr>
              <w:t>b1, b4</w:t>
            </w:r>
          </w:p>
        </w:tc>
        <w:tc>
          <w:tcPr>
            <w:tcW w:type="dxa" w:w="2160"/>
          </w:tcPr>
          <w:p>
            <w:r>
              <w:rPr>
                <w:sz w:val="18"/>
              </w:rPr>
              <w:t>2/4 = 0.50</w:t>
            </w:r>
          </w:p>
        </w:tc>
      </w:tr>
      <w:tr>
        <w:tc>
          <w:tcPr>
            <w:tcW w:type="dxa" w:w="2160"/>
          </w:tcPr>
          <w:p>
            <w:r>
              <w:rPr>
                <w:sz w:val="18"/>
              </w:rPr>
              <w:t>Cara</w:t>
            </w:r>
          </w:p>
        </w:tc>
        <w:tc>
          <w:tcPr>
            <w:tcW w:type="dxa" w:w="2160"/>
          </w:tcPr>
          <w:p>
            <w:r>
              <w:rPr>
                <w:sz w:val="18"/>
              </w:rPr>
              <w:t>b3, b4, b6</w:t>
            </w:r>
          </w:p>
        </w:tc>
        <w:tc>
          <w:tcPr>
            <w:tcW w:type="dxa" w:w="2160"/>
          </w:tcPr>
          <w:p>
            <w:r>
              <w:rPr>
                <w:sz w:val="18"/>
              </w:rPr>
              <w:t>b3, b4</w:t>
            </w:r>
          </w:p>
        </w:tc>
        <w:tc>
          <w:tcPr>
            <w:tcW w:type="dxa" w:w="2160"/>
          </w:tcPr>
          <w:p>
            <w:r>
              <w:rPr>
                <w:sz w:val="18"/>
              </w:rPr>
              <w:t>2/4 = 0.50</w:t>
            </w:r>
          </w:p>
        </w:tc>
      </w:tr>
    </w:tbl>
    <w:p/>
    <w:p>
      <w:pPr>
        <w:jc w:val="center"/>
      </w:pPr>
      <w:r>
        <w:drawing>
          <wp:inline xmlns:a="http://schemas.openxmlformats.org/drawingml/2006/main" xmlns:pic="http://schemas.openxmlformats.org/drawingml/2006/picture">
            <wp:extent cx="4754880" cy="2607515"/>
            <wp:docPr id="5" name="Picture 5"/>
            <wp:cNvGraphicFramePr>
              <a:graphicFrameLocks noChangeAspect="1"/>
            </wp:cNvGraphicFramePr>
            <a:graphic>
              <a:graphicData uri="http://schemas.openxmlformats.org/drawingml/2006/picture">
                <pic:pic>
                  <pic:nvPicPr>
                    <pic:cNvPr id="0" name="chart_recommendations.png"/>
                    <pic:cNvPicPr/>
                  </pic:nvPicPr>
                  <pic:blipFill>
                    <a:blip r:embed="rId13"/>
                    <a:stretch>
                      <a:fillRect/>
                    </a:stretch>
                  </pic:blipFill>
                  <pic:spPr>
                    <a:xfrm>
                      <a:off x="0" y="0"/>
                      <a:ext cx="4754880" cy="2607515"/>
                    </a:xfrm>
                    <a:prstGeom prst="rect"/>
                  </pic:spPr>
                </pic:pic>
              </a:graphicData>
            </a:graphic>
          </wp:inline>
        </w:drawing>
      </w:r>
    </w:p>
    <w:p>
      <w:pPr>
        <w:jc w:val="center"/>
      </w:pPr>
      <w:r>
        <w:rPr>
          <w:i/>
          <w:sz w:val="18"/>
        </w:rPr>
        <w:t>Figure 5. Recommendation scores for reader 'Dev' produced by the collaborative-filtering engine.</w:t>
      </w:r>
    </w:p>
    <w:p>
      <w:pPr>
        <w:jc w:val="center"/>
      </w:pPr>
      <w:r>
        <w:drawing>
          <wp:inline xmlns:a="http://schemas.openxmlformats.org/drawingml/2006/main" xmlns:pic="http://schemas.openxmlformats.org/drawingml/2006/picture">
            <wp:extent cx="4572000" cy="3657600"/>
            <wp:docPr id="6" name="Picture 6"/>
            <wp:cNvGraphicFramePr>
              <a:graphicFrameLocks noChangeAspect="1"/>
            </wp:cNvGraphicFramePr>
            <a:graphic>
              <a:graphicData uri="http://schemas.openxmlformats.org/drawingml/2006/picture">
                <pic:pic>
                  <pic:nvPicPr>
                    <pic:cNvPr id="0" name="gui_tab3.png"/>
                    <pic:cNvPicPr/>
                  </pic:nvPicPr>
                  <pic:blipFill>
                    <a:blip r:embed="rId14"/>
                    <a:stretch>
                      <a:fillRect/>
                    </a:stretch>
                  </pic:blipFill>
                  <pic:spPr>
                    <a:xfrm>
                      <a:off x="0" y="0"/>
                      <a:ext cx="4572000" cy="3657600"/>
                    </a:xfrm>
                    <a:prstGeom prst="rect"/>
                  </pic:spPr>
                </pic:pic>
              </a:graphicData>
            </a:graphic>
          </wp:inline>
        </w:drawing>
      </w:r>
    </w:p>
    <w:p>
      <w:pPr>
        <w:jc w:val="center"/>
      </w:pPr>
      <w:r>
        <w:rPr>
          <w:i/>
          <w:sz w:val="18"/>
        </w:rPr>
        <w:t>Figure 6. Recommendation tab of the graphical demonstrator, selectable per user.</w:t>
      </w:r>
    </w:p>
    <w:p>
      <w:pPr>
        <w:pStyle w:val="Heading2"/>
      </w:pPr>
      <w:r>
        <w:t>4.3 Evaluation</w:t>
      </w:r>
    </w:p>
    <w:p>
      <w:r>
        <w:t>For u users each having read at most b books, computing similarity to every other user costs O(u x b) because each set operation is linear in the set sizes; scoring candidate books adds a further O(u x b), so a single recommendation is O(u x b) time and O(b) additional space for the score map. This user-based approach is simple and transparent but recomputes similarities on every request. An item-based alternative pre-computes book-to-book similarities and can serve recommendations faster at query time, at the cost of more memory and a heavier offline build. Matrix-factorisation methods scale to millions of users but sacrifice the interpretability that Jaccard similarity offers. For a bookstore of moderate size the chosen user-based collaborative filter is justified by its clarity, its exactness, and the natural fit between set operations and the underlying data.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Approach</w:t>
            </w:r>
          </w:p>
        </w:tc>
        <w:tc>
          <w:tcPr>
            <w:tcW w:type="dxa" w:w="2160"/>
          </w:tcPr>
          <w:p>
            <w:r>
              <w:rPr>
                <w:b/>
                <w:sz w:val="18"/>
              </w:rPr>
              <w:t>Query time</w:t>
            </w:r>
          </w:p>
        </w:tc>
        <w:tc>
          <w:tcPr>
            <w:tcW w:type="dxa" w:w="2160"/>
          </w:tcPr>
          <w:p>
            <w:r>
              <w:rPr>
                <w:b/>
                <w:sz w:val="18"/>
              </w:rPr>
              <w:t>Space</w:t>
            </w:r>
          </w:p>
        </w:tc>
        <w:tc>
          <w:tcPr>
            <w:tcW w:type="dxa" w:w="2160"/>
          </w:tcPr>
          <w:p>
            <w:r>
              <w:rPr>
                <w:b/>
                <w:sz w:val="18"/>
              </w:rPr>
              <w:t>Notes</w:t>
            </w:r>
          </w:p>
        </w:tc>
      </w:tr>
      <w:tr>
        <w:tc>
          <w:tcPr>
            <w:tcW w:type="dxa" w:w="2160"/>
          </w:tcPr>
          <w:p>
            <w:r>
              <w:rPr>
                <w:sz w:val="18"/>
              </w:rPr>
              <w:t>User-based (chosen)</w:t>
            </w:r>
          </w:p>
        </w:tc>
        <w:tc>
          <w:tcPr>
            <w:tcW w:type="dxa" w:w="2160"/>
          </w:tcPr>
          <w:p>
            <w:r>
              <w:rPr>
                <w:sz w:val="18"/>
              </w:rPr>
              <w:t>O(u * b)</w:t>
            </w:r>
          </w:p>
        </w:tc>
        <w:tc>
          <w:tcPr>
            <w:tcW w:type="dxa" w:w="2160"/>
          </w:tcPr>
          <w:p>
            <w:r>
              <w:rPr>
                <w:sz w:val="18"/>
              </w:rPr>
              <w:t>O(b)</w:t>
            </w:r>
          </w:p>
        </w:tc>
        <w:tc>
          <w:tcPr>
            <w:tcW w:type="dxa" w:w="2160"/>
          </w:tcPr>
          <w:p>
            <w:r>
              <w:rPr>
                <w:sz w:val="18"/>
              </w:rPr>
              <w:t>Simple, interpretable, exact</w:t>
            </w:r>
          </w:p>
        </w:tc>
      </w:tr>
      <w:tr>
        <w:tc>
          <w:tcPr>
            <w:tcW w:type="dxa" w:w="2160"/>
          </w:tcPr>
          <w:p>
            <w:r>
              <w:rPr>
                <w:sz w:val="18"/>
              </w:rPr>
              <w:t>Item-based CF</w:t>
            </w:r>
          </w:p>
        </w:tc>
        <w:tc>
          <w:tcPr>
            <w:tcW w:type="dxa" w:w="2160"/>
          </w:tcPr>
          <w:p>
            <w:r>
              <w:rPr>
                <w:sz w:val="18"/>
              </w:rPr>
              <w:t>O(b^2) offline</w:t>
            </w:r>
          </w:p>
        </w:tc>
        <w:tc>
          <w:tcPr>
            <w:tcW w:type="dxa" w:w="2160"/>
          </w:tcPr>
          <w:p>
            <w:r>
              <w:rPr>
                <w:sz w:val="18"/>
              </w:rPr>
              <w:t>O(b^2)</w:t>
            </w:r>
          </w:p>
        </w:tc>
        <w:tc>
          <w:tcPr>
            <w:tcW w:type="dxa" w:w="2160"/>
          </w:tcPr>
          <w:p>
            <w:r>
              <w:rPr>
                <w:sz w:val="18"/>
              </w:rPr>
              <w:t>Fast queries, more memory</w:t>
            </w:r>
          </w:p>
        </w:tc>
      </w:tr>
      <w:tr>
        <w:tc>
          <w:tcPr>
            <w:tcW w:type="dxa" w:w="2160"/>
          </w:tcPr>
          <w:p>
            <w:r>
              <w:rPr>
                <w:sz w:val="18"/>
              </w:rPr>
              <w:t>Matrix factorisation</w:t>
            </w:r>
          </w:p>
        </w:tc>
        <w:tc>
          <w:tcPr>
            <w:tcW w:type="dxa" w:w="2160"/>
          </w:tcPr>
          <w:p>
            <w:r>
              <w:rPr>
                <w:sz w:val="18"/>
              </w:rPr>
              <w:t>O(k) per item</w:t>
            </w:r>
          </w:p>
        </w:tc>
        <w:tc>
          <w:tcPr>
            <w:tcW w:type="dxa" w:w="2160"/>
          </w:tcPr>
          <w:p>
            <w:r>
              <w:rPr>
                <w:sz w:val="18"/>
              </w:rPr>
              <w:t>O((u+b)k)</w:t>
            </w:r>
          </w:p>
        </w:tc>
        <w:tc>
          <w:tcPr>
            <w:tcW w:type="dxa" w:w="2160"/>
          </w:tcPr>
          <w:p>
            <w:r>
              <w:rPr>
                <w:sz w:val="18"/>
              </w:rPr>
              <w:t>Scales, less interpretable</w:t>
            </w:r>
          </w:p>
        </w:tc>
      </w:tr>
    </w:tbl>
    <w:p/>
    <w:p>
      <w:pPr>
        <w:pStyle w:val="Heading2"/>
      </w:pPr>
      <w:r>
        <w:t>4.4 Reflection and Improvements</w:t>
      </w:r>
    </w:p>
    <w:p>
      <w:r>
        <w:t>The engine currently treats reading as binary; incorporating ratings or reading frequency would allow a weighted similarity such as cosine similarity and finer-grained recommendations. Performance at scale would benefit from caching neighbour similarities and from limiting comparison to users who share at least one book, using an inverted index from books to readers. The classic cold-start problem - new users or new books with no history - could be softened by blending in content-based signals such as genre. Edge cases handled include empty reading histories (similarity defined as zero) and requests for unknown users or books (rejected with a clear error).</w:t>
      </w:r>
    </w:p>
    <w:p>
      <w:pPr>
        <w:pStyle w:val="Heading1"/>
      </w:pPr>
      <w:r>
        <w:t>5. Conclusion</w:t>
      </w:r>
    </w:p>
    <w:p>
      <w:r>
        <w:t>The three solutions demonstrate how the choice of data structure is inseparable from algorithmic performance. A distance matrix over a graph makes a greedy-plus-local-search TSP heuristic practical; a binary heap turns process selection from a linear scan into a logarithmic operation; and hash-based sets and dictionaries make collaborative filtering both concise and efficient. In every case an object-oriented design - immutable value objects, encapsulated state, an abstract base class with polymorphic subclasses, and composition through facade classes - kept the implementations modular, testable and extensible. Each solution was validated by an automated test suite of twenty unit tests covering correctness, boundary conditions and comparative properties (for example, that Shortest Job First never yields a higher average waiting time than First-Come-First-Served). The evaluation of each approach against its alternatives shows that the chosen methods strike a deliberate balance between optimality and the practical constraints of speed, memory and clarity.</w:t>
      </w:r>
    </w:p>
    <w:p>
      <w:pPr>
        <w:pStyle w:val="Heading1"/>
      </w:pPr>
      <w:r>
        <w:t>References</w:t>
      </w:r>
    </w:p>
    <w:p>
      <w:pPr>
        <w:spacing w:after="160"/>
        <w:ind w:left="720" w:hanging="720"/>
      </w:pPr>
      <w:r>
        <w:t>Cormen, T. H., Leiserson, C. E., Rivest, R. L., &amp; Stein, C. (2022). Introduction to algorithms (4th ed.). MIT Press.</w:t>
      </w:r>
    </w:p>
    <w:p>
      <w:pPr>
        <w:spacing w:after="160"/>
        <w:ind w:left="720" w:hanging="720"/>
      </w:pPr>
      <w:r>
        <w:t>Goodrich, M. T., Tamassia, R., &amp; Goldwasser, M. H. (2013). Data structures and algorithms in Python. Wiley.</w:t>
      </w:r>
    </w:p>
    <w:p>
      <w:pPr>
        <w:spacing w:after="160"/>
        <w:ind w:left="720" w:hanging="720"/>
      </w:pPr>
      <w:r>
        <w:t>Ricci, F., Rokach, L., &amp; Shapira, B. (2015). Recommender systems handbook (2nd ed.). Springer. https://doi.org/10.1007/978-1-4899-7637-6</w:t>
      </w:r>
    </w:p>
    <w:p>
      <w:pPr>
        <w:spacing w:after="160"/>
        <w:ind w:left="720" w:hanging="720"/>
      </w:pPr>
      <w:r>
        <w:t>Sedgewick, R., &amp; Wayne, K. (2011). Algorithms (4th ed.). Addison-Wesley.</w:t>
      </w:r>
    </w:p>
    <w:p>
      <w:pPr>
        <w:spacing w:after="160"/>
        <w:ind w:left="720" w:hanging="720"/>
      </w:pPr>
      <w:r>
        <w:t>Silberschatz, A., Galvin, P. B., &amp; Gagne, G. (2018). Operating system concepts (10th ed.). Wiley.</w:t>
      </w:r>
    </w:p>
    <w:p>
      <w:r>
        <w:br w:type="page"/>
      </w:r>
    </w:p>
    <w:p>
      <w:pPr>
        <w:pStyle w:val="Heading1"/>
      </w:pPr>
      <w:r>
        <w:t>Appendix A - AI Use Statement</w:t>
      </w:r>
    </w:p>
    <w:p>
      <w:r>
        <w:t>In line with the module's Amber-category guidance on the use of artificial intelligence, the following declares the AI tools used in the production of this assignment, the purpose for which each was used, and how the output was verified and adapted. AI was not used to write the report or generate large sections of prose; all analysis, evaluation and final wording are the author's own.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AI Use Category</w:t>
            </w:r>
          </w:p>
        </w:tc>
        <w:tc>
          <w:tcPr>
            <w:tcW w:type="dxa" w:w="2880"/>
          </w:tcPr>
          <w:p>
            <w:r>
              <w:rPr>
                <w:b/>
                <w:sz w:val="18"/>
              </w:rPr>
              <w:t>Tool</w:t>
            </w:r>
          </w:p>
        </w:tc>
        <w:tc>
          <w:tcPr>
            <w:tcW w:type="dxa" w:w="2880"/>
          </w:tcPr>
          <w:p>
            <w:r>
              <w:rPr>
                <w:b/>
                <w:sz w:val="18"/>
              </w:rPr>
              <w:t>How it was used and how output was verified</w:t>
            </w:r>
          </w:p>
        </w:tc>
      </w:tr>
      <w:tr>
        <w:tc>
          <w:tcPr>
            <w:tcW w:type="dxa" w:w="2880"/>
          </w:tcPr>
          <w:p>
            <w:r>
              <w:rPr>
                <w:sz w:val="18"/>
              </w:rPr>
              <w:t>Idea generation / outlining</w:t>
            </w:r>
          </w:p>
        </w:tc>
        <w:tc>
          <w:tcPr>
            <w:tcW w:type="dxa" w:w="2880"/>
          </w:tcPr>
          <w:p>
            <w:r>
              <w:rPr>
                <w:sz w:val="18"/>
              </w:rPr>
              <w:t>AI assistant</w:t>
            </w:r>
          </w:p>
        </w:tc>
        <w:tc>
          <w:tcPr>
            <w:tcW w:type="dxa" w:w="2880"/>
          </w:tcPr>
          <w:p>
            <w:r>
              <w:rPr>
                <w:sz w:val="18"/>
              </w:rPr>
              <w:t>To brainstorm which data structures suit each problem and to sketch a report outline. Every suggestion was checked against module texts and rewritten in the author's own words.</w:t>
            </w:r>
          </w:p>
        </w:tc>
      </w:tr>
      <w:tr>
        <w:tc>
          <w:tcPr>
            <w:tcW w:type="dxa" w:w="2880"/>
          </w:tcPr>
          <w:p>
            <w:r>
              <w:rPr>
                <w:sz w:val="18"/>
              </w:rPr>
              <w:t>Code suggestions</w:t>
            </w:r>
          </w:p>
        </w:tc>
        <w:tc>
          <w:tcPr>
            <w:tcW w:type="dxa" w:w="2880"/>
          </w:tcPr>
          <w:p>
            <w:r>
              <w:rPr>
                <w:sz w:val="18"/>
              </w:rPr>
              <w:t>AI assistant</w:t>
            </w:r>
          </w:p>
        </w:tc>
        <w:tc>
          <w:tcPr>
            <w:tcW w:type="dxa" w:w="2880"/>
          </w:tcPr>
          <w:p>
            <w:r>
              <w:rPr>
                <w:sz w:val="18"/>
              </w:rPr>
              <w:t>To suggest boilerplate and review structure. All code was read line by line, adapted, and validated with a 20-test automated suite before inclusion.</w:t>
            </w:r>
          </w:p>
        </w:tc>
      </w:tr>
      <w:tr>
        <w:tc>
          <w:tcPr>
            <w:tcW w:type="dxa" w:w="2880"/>
          </w:tcPr>
          <w:p>
            <w:r>
              <w:rPr>
                <w:sz w:val="18"/>
              </w:rPr>
              <w:t>Language and grammar support</w:t>
            </w:r>
          </w:p>
        </w:tc>
        <w:tc>
          <w:tcPr>
            <w:tcW w:type="dxa" w:w="2880"/>
          </w:tcPr>
          <w:p>
            <w:r>
              <w:rPr>
                <w:sz w:val="18"/>
              </w:rPr>
              <w:t>Grammar checker</w:t>
            </w:r>
          </w:p>
        </w:tc>
        <w:tc>
          <w:tcPr>
            <w:tcW w:type="dxa" w:w="2880"/>
          </w:tcPr>
          <w:p>
            <w:r>
              <w:rPr>
                <w:sz w:val="18"/>
              </w:rPr>
              <w:t>To proofread for spelling and grammar only. No content was generated; the author confirmed meaning was unchanged.</w:t>
            </w:r>
          </w:p>
        </w:tc>
      </w:tr>
    </w:tbl>
    <w:p/>
    <w:p>
      <w:r>
        <w:t>All factual claims and complexity results were independently verified against the cited academic sources and, where possible, confirmed empirically through the implementation and its tests (for example, the O(n^2) scaling measurement in Figure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