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5F"/>
          <w:sz w:val="72"/>
          <w:szCs w:val="72"/>
        </w:rPr>
        <w:t xml:space="preserve">SAHARA.AI</w:t>
      </w:r>
    </w:p>
    <w:p>
      <w:pPr>
        <w:spacing w:after="500"/>
        <w:jc w:val="center"/>
      </w:pPr>
      <w:r>
        <w:rPr>
          <w:i/>
          <w:iCs/>
          <w:color w:val="444444"/>
          <w:sz w:val="26"/>
          <w:szCs w:val="26"/>
        </w:rPr>
        <w:t xml:space="preserve">AI-Powered Multi-Agent Death &amp; Estate Administration Assistant</w:t>
      </w:r>
    </w:p>
    <w:p>
      <w:pPr>
        <w:spacing w:after="100"/>
        <w:jc w:val="center"/>
      </w:pPr>
      <w:r>
        <w:rPr>
          <w:b/>
          <w:bCs/>
          <w:sz w:val="22"/>
          <w:szCs w:val="22"/>
        </w:rPr>
        <w:t xml:space="preserve">AI Automation and Intelligent Solutions — Project Proposal</w:t>
      </w:r>
    </w:p>
    <w:p>
      <w:pPr>
        <w:spacing w:after="400"/>
        <w:jc w:val="center"/>
      </w:pPr>
      <w:r>
        <w:rPr>
          <w:color w:val="1F4E5F"/>
          <w:sz w:val="20"/>
          <w:szCs w:val="20"/>
        </w:rPr>
        <w:t xml:space="preserve">Aligned with UN Sustainable Development Goals 1, 5, and 16</w:t>
      </w:r>
    </w:p>
    <w:p>
      <w:pPr>
        <w:spacing w:before="900"/>
        <w:jc w:val="center"/>
      </w:pPr>
      <w:r>
        <w:rPr>
          <w:sz w:val="20"/>
          <w:szCs w:val="20"/>
        </w:rPr>
        <w:t xml:space="preserve">Prepared by: Rajan</w:t>
      </w:r>
    </w:p>
    <w:p>
      <w:pPr>
        <w:spacing w:after="100"/>
        <w:jc w:val="center"/>
      </w:pPr>
      <w:r>
        <w:rPr>
          <w:color w:val="555555"/>
          <w:sz w:val="18"/>
          <w:szCs w:val="18"/>
        </w:rPr>
        <w:t xml:space="preserve">BCA Final Semester, Vivekananda Institute of Professional Studies (VIPS)</w:t>
      </w:r>
    </w:p>
    <w:p>
      <w:pPr>
        <w:jc w:val="center"/>
      </w:pPr>
      <w:r>
        <w:rPr>
          <w:color w:val="555555"/>
          <w:sz w:val="18"/>
          <w:szCs w:val="18"/>
        </w:rPr>
        <w:t xml:space="preserve">Affiliated to Guru Gobind Singh Indraprastha University (GGSIPU), New Delhi</w:t>
      </w:r>
    </w:p>
    <w:p>
      <w:r>
        <w:br w:type="page"/>
      </w:r>
    </w:p>
    <w:p>
      <w:pPr>
        <w:pStyle w:val="Heading1"/>
        <w:pBdr>
          <w:bottom w:val="single" w:color="1F4E5F" w:sz="6" w:space="4"/>
        </w:pBdr>
        <w:spacing w:after="200" w:before="400"/>
      </w:pPr>
      <w:r>
        <w:rPr>
          <w:b/>
          <w:bCs/>
          <w:color w:val="1F4E5F"/>
        </w:rPr>
        <w:t xml:space="preserve">1. Introduction</w:t>
      </w:r>
    </w:p>
    <w:p>
      <w:pPr>
        <w:spacing w:after="160" w:line="300"/>
      </w:pPr>
      <w:r>
        <w:t xml:space="preserve">When a person dies, their family is left to navigate a maze of disconnected institutional processes — banks, insurance companies, government offices, and employers — each with its own forms, documentation requirements, and timelines. This burden falls on people who are simultaneously grieving, often for the first time in their lives, at exactly the moment they are least equipped to handle bureaucratic complexity.</w:t>
      </w:r>
    </w:p>
    <w:p>
      <w:pPr>
        <w:spacing w:after="160" w:line="300"/>
      </w:pPr>
      <w:r>
        <w:t xml:space="preserve">Sahara.ai is a multi-agent AI system designed to absorb this administrative burden. It identifies every institutional task a family must complete after a death, drafts the required letters and applications, tracks the status of each task, and follows up automatically — while keeping a human reviewer in control of every action before it is sent.</w:t>
      </w:r>
    </w:p>
    <w:p>
      <w:pPr>
        <w:pStyle w:val="Heading1"/>
        <w:pBdr>
          <w:bottom w:val="single" w:color="1F4E5F" w:sz="6" w:space="4"/>
        </w:pBdr>
        <w:spacing w:after="200" w:before="400"/>
      </w:pPr>
      <w:r>
        <w:rPr>
          <w:b/>
          <w:bCs/>
          <w:color w:val="1F4E5F"/>
        </w:rPr>
        <w:t xml:space="preserve">2. Problem Statement</w:t>
      </w:r>
    </w:p>
    <w:p>
      <w:pPr>
        <w:spacing w:after="160" w:line="300"/>
      </w:pPr>
      <w:r>
        <w:t xml:space="preserve">In India, and in most countries, there is no single coordinated system to help a family close out the affairs of a deceased person. The process typically requires:</w:t>
      </w:r>
    </w:p>
    <w:p>
      <w:pPr>
        <w:pStyle w:val="ListParagraph"/>
        <w:numPr>
          <w:ilvl w:val="0"/>
          <w:numId w:val="2"/>
        </w:numPr>
        <w:spacing w:after="80" w:line="280"/>
      </w:pPr>
      <w:r>
        <w:t xml:space="preserve">Obtaining a death certificate from the municipal/local government office</w:t>
      </w:r>
    </w:p>
    <w:p>
      <w:pPr>
        <w:pStyle w:val="ListParagraph"/>
        <w:numPr>
          <w:ilvl w:val="0"/>
          <w:numId w:val="2"/>
        </w:numPr>
        <w:spacing w:after="80" w:line="280"/>
      </w:pPr>
      <w:r>
        <w:t xml:space="preserve">Filing a succession or legal heir certificate for asset transfer</w:t>
      </w:r>
    </w:p>
    <w:p>
      <w:pPr>
        <w:pStyle w:val="ListParagraph"/>
        <w:numPr>
          <w:ilvl w:val="0"/>
          <w:numId w:val="2"/>
        </w:numPr>
        <w:spacing w:after="80" w:line="280"/>
      </w:pPr>
      <w:r>
        <w:t xml:space="preserve">Submitting nominee-transfer requests separately to every bank the deceased held an account with</w:t>
      </w:r>
    </w:p>
    <w:p>
      <w:pPr>
        <w:pStyle w:val="ListParagraph"/>
        <w:numPr>
          <w:ilvl w:val="0"/>
          <w:numId w:val="2"/>
        </w:numPr>
        <w:spacing w:after="80" w:line="280"/>
      </w:pPr>
      <w:r>
        <w:t xml:space="preserve">Filing insurance claims with each insurer, each with different documentation formats</w:t>
      </w:r>
    </w:p>
    <w:p>
      <w:pPr>
        <w:pStyle w:val="ListParagraph"/>
        <w:numPr>
          <w:ilvl w:val="0"/>
          <w:numId w:val="2"/>
        </w:numPr>
        <w:spacing w:after="80" w:line="280"/>
      </w:pPr>
      <w:r>
        <w:t xml:space="preserve">Settling final dues, provident fund, and gratuity with the deceased's employer</w:t>
      </w:r>
    </w:p>
    <w:p>
      <w:pPr>
        <w:pStyle w:val="ListParagraph"/>
        <w:numPr>
          <w:ilvl w:val="0"/>
          <w:numId w:val="2"/>
        </w:numPr>
        <w:spacing w:after="80" w:line="280"/>
      </w:pPr>
      <w:r>
        <w:t xml:space="preserve">Mutating property records with local land/municipal authorities</w:t>
      </w:r>
    </w:p>
    <w:p>
      <w:pPr>
        <w:spacing w:after="160" w:line="300"/>
      </w:pPr>
      <w:r>
        <w:t xml:space="preserve">Each of these processes is handled by a different institution, with different forms, different documentation standards, and no shared system between them. Families — especially widows, elderly parents, and those with limited literacy or digital access — frequently abandon claims midway, lose entitled benefits, or fall prey to informal "fixers" who charge unofficial fees to navigate paperwork. This directly perpetuates financial precarity at the exact moment a household can least absorb it.</w:t>
      </w:r>
    </w:p>
    <w:p>
      <w:pPr>
        <w:pStyle w:val="Heading1"/>
        <w:pBdr>
          <w:bottom w:val="single" w:color="1F4E5F" w:sz="6" w:space="4"/>
        </w:pBdr>
        <w:spacing w:after="200" w:before="400"/>
      </w:pPr>
      <w:r>
        <w:rPr>
          <w:b/>
          <w:bCs/>
          <w:color w:val="1F4E5F"/>
        </w:rPr>
        <w:t xml:space="preserve">3. Alignment with UN Sustainable Development Goals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color="auto" w:val="clear"/>
            <w:tcMar>
              <w:top w:type="dxa" w:w="100"/>
              <w:left w:type="dxa" w:w="120"/>
              <w:bottom w:type="dxa" w:w="100"/>
              <w:right w:type="dxa" w:w="120"/>
            </w:tcMar>
          </w:tcPr>
          <w:p>
            <w:r>
              <w:rPr>
                <w:b/>
                <w:bCs/>
                <w:color w:val="FFFFFF"/>
                <w:sz w:val="20"/>
                <w:szCs w:val="20"/>
              </w:rPr>
              <w:t xml:space="preserve">SDG</w:t>
            </w:r>
          </w:p>
        </w:tc>
        <w:tc>
          <w:tcPr>
            <w:tcW w:type="dxa" w:w="6300"/>
            <w:shd w:fill="1F4E5F" w:color="auto" w:val="clear"/>
            <w:tcMar>
              <w:top w:type="dxa" w:w="100"/>
              <w:left w:type="dxa" w:w="120"/>
              <w:bottom w:type="dxa" w:w="100"/>
              <w:right w:type="dxa" w:w="120"/>
            </w:tcMar>
          </w:tcPr>
          <w:p>
            <w:r>
              <w:rPr>
                <w:b/>
                <w:bCs/>
                <w:color w:val="FFFFFF"/>
                <w:sz w:val="20"/>
                <w:szCs w:val="20"/>
              </w:rPr>
              <w:t xml:space="preserve">Relevance</w:t>
            </w:r>
          </w:p>
        </w:tc>
      </w:tr>
      <w:tr>
        <w:tc>
          <w:tcPr>
            <w:tcW w:type="dxa" w:w="3200"/>
            <w:tcMar>
              <w:top w:type="dxa" w:w="100"/>
              <w:left w:type="dxa" w:w="120"/>
              <w:bottom w:type="dxa" w:w="100"/>
              <w:right w:type="dxa" w:w="120"/>
            </w:tcMar>
          </w:tcPr>
          <w:p>
            <w:r>
              <w:rPr>
                <w:b w:val="false"/>
                <w:bCs w:val="false"/>
                <w:color w:val="000000"/>
                <w:sz w:val="20"/>
                <w:szCs w:val="20"/>
              </w:rPr>
              <w:t xml:space="preserve">SDG 1 — No Poverty</w:t>
            </w:r>
          </w:p>
        </w:tc>
        <w:tc>
          <w:tcPr>
            <w:tcW w:type="dxa" w:w="6300"/>
            <w:tcMar>
              <w:top w:type="dxa" w:w="100"/>
              <w:left w:type="dxa" w:w="120"/>
              <w:bottom w:type="dxa" w:w="100"/>
              <w:right w:type="dxa" w:w="120"/>
            </w:tcMar>
          </w:tcPr>
          <w:p>
            <w:r>
              <w:rPr>
                <w:b w:val="false"/>
                <w:bCs w:val="false"/>
                <w:color w:val="000000"/>
                <w:sz w:val="20"/>
                <w:szCs w:val="20"/>
              </w:rPr>
              <w:t xml:space="preserve">Prevents households from losing entitled financial claims (insurance payouts, provident fund, nominee transfers) due to abandoned or mishandled paperwork.</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SDG 5 — Gender Equality</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Widows disproportionately lose financial agency and access to assets after a spouse's death due to procedural complexity; this system restores that agency.</w:t>
            </w:r>
          </w:p>
        </w:tc>
      </w:tr>
      <w:tr>
        <w:tc>
          <w:tcPr>
            <w:tcW w:type="dxa" w:w="3200"/>
            <w:tcMar>
              <w:top w:type="dxa" w:w="100"/>
              <w:left w:type="dxa" w:w="120"/>
              <w:bottom w:type="dxa" w:w="100"/>
              <w:right w:type="dxa" w:w="120"/>
            </w:tcMar>
          </w:tcPr>
          <w:p>
            <w:r>
              <w:rPr>
                <w:b w:val="false"/>
                <w:bCs w:val="false"/>
                <w:color w:val="000000"/>
                <w:sz w:val="20"/>
                <w:szCs w:val="20"/>
              </w:rPr>
              <w:t xml:space="preserve">SDG 16 — Peace, Justice &amp; Strong Institutions</w:t>
            </w:r>
          </w:p>
        </w:tc>
        <w:tc>
          <w:tcPr>
            <w:tcW w:type="dxa" w:w="6300"/>
            <w:tcMar>
              <w:top w:type="dxa" w:w="100"/>
              <w:left w:type="dxa" w:w="120"/>
              <w:bottom w:type="dxa" w:w="100"/>
              <w:right w:type="dxa" w:w="120"/>
            </w:tcMar>
          </w:tcPr>
          <w:p>
            <w:r>
              <w:rPr>
                <w:b w:val="false"/>
                <w:bCs w:val="false"/>
                <w:color w:val="000000"/>
                <w:sz w:val="20"/>
                <w:szCs w:val="20"/>
              </w:rPr>
              <w:t xml:space="preserve">Improves access to institutional and legal processes for citizens who otherwise depend on informal intermediaries, reducing opportunities for exploitation and corruption.</w:t>
            </w:r>
          </w:p>
        </w:tc>
      </w:tr>
    </w:tbl>
    <w:p>
      <w:pPr>
        <w:pStyle w:val="Heading1"/>
        <w:pBdr>
          <w:bottom w:val="single" w:color="1F4E5F" w:sz="6" w:space="4"/>
        </w:pBdr>
        <w:spacing w:after="200" w:before="400"/>
      </w:pPr>
      <w:r>
        <w:rPr>
          <w:b/>
          <w:bCs/>
          <w:color w:val="1F4E5F"/>
        </w:rPr>
        <w:t xml:space="preserve">4. Objectives</w:t>
      </w:r>
    </w:p>
    <w:p>
      <w:pPr>
        <w:pStyle w:val="ListParagraph"/>
        <w:numPr>
          <w:ilvl w:val="0"/>
          <w:numId w:val="2"/>
        </w:numPr>
        <w:spacing w:after="80" w:line="280"/>
      </w:pPr>
      <w:r>
        <w:t xml:space="preserve">Automatically identify every institutional task required to settle a deceased person's affairs, based on the accounts, assets, and relationships the family reports.</w:t>
      </w:r>
    </w:p>
    <w:p>
      <w:pPr>
        <w:pStyle w:val="ListParagraph"/>
        <w:numPr>
          <w:ilvl w:val="0"/>
          <w:numId w:val="2"/>
        </w:numPr>
        <w:spacing w:after="80" w:line="280"/>
      </w:pPr>
      <w:r>
        <w:t xml:space="preserve">Generate accurate, ready-to-review drafts of the letters, applications, and claim forms each task requires.</w:t>
      </w:r>
    </w:p>
    <w:p>
      <w:pPr>
        <w:pStyle w:val="ListParagraph"/>
        <w:numPr>
          <w:ilvl w:val="0"/>
          <w:numId w:val="2"/>
        </w:numPr>
        <w:spacing w:after="80" w:line="280"/>
      </w:pPr>
      <w:r>
        <w:t xml:space="preserve">Track the status of every task in one place, from "Not Started" through "Sent" to "Completed".</w:t>
      </w:r>
    </w:p>
    <w:p>
      <w:pPr>
        <w:pStyle w:val="ListParagraph"/>
        <w:numPr>
          <w:ilvl w:val="0"/>
          <w:numId w:val="2"/>
        </w:numPr>
        <w:spacing w:after="80" w:line="280"/>
      </w:pPr>
      <w:r>
        <w:t xml:space="preserve">Automatically draft polite follow-up communications when an institution has not responded within a reasonable window.</w:t>
      </w:r>
    </w:p>
    <w:p>
      <w:pPr>
        <w:pStyle w:val="ListParagraph"/>
        <w:numPr>
          <w:ilvl w:val="0"/>
          <w:numId w:val="2"/>
        </w:numPr>
        <w:spacing w:after="80" w:line="280"/>
      </w:pPr>
      <w:r>
        <w:t xml:space="preserve">Keep a human reviewer in control of every outgoing communication — the system drafts, it never sends without approval.</w:t>
      </w:r>
    </w:p>
    <w:p>
      <w:pPr>
        <w:pStyle w:val="Heading1"/>
        <w:pBdr>
          <w:bottom w:val="single" w:color="1F4E5F" w:sz="6" w:space="4"/>
        </w:pBdr>
        <w:spacing w:after="200" w:before="400"/>
      </w:pPr>
      <w:r>
        <w:rPr>
          <w:b/>
          <w:bCs/>
          <w:color w:val="1F4E5F"/>
        </w:rPr>
        <w:t xml:space="preserve">5. Proposed Solution — Overview</w:t>
      </w:r>
    </w:p>
    <w:p>
      <w:pPr>
        <w:spacing w:after="160" w:line="300"/>
      </w:pPr>
      <w:r>
        <w:t xml:space="preserve">Sahara.ai is built as a multi-agent system, following the same architectural philosophy as prior work (Sentinel AI): a set of specialised agents, each responsible for one part of the task, coordinated by a central decision/orchestrator agent. The system takes structured family input at intake, reasons over it to produce a task list, drafts the necessary communications, and manages the full lifecycle of each task until it is resolved.</w:t>
      </w:r>
    </w:p>
    <w:p>
      <w:pPr>
        <w:pStyle w:val="Heading1"/>
        <w:pBdr>
          <w:bottom w:val="single" w:color="1F4E5F" w:sz="6" w:space="4"/>
        </w:pBdr>
        <w:spacing w:after="200" w:before="400"/>
      </w:pPr>
      <w:r>
        <w:rPr>
          <w:b/>
          <w:bCs/>
          <w:color w:val="1F4E5F"/>
        </w:rPr>
        <w:t xml:space="preserve">6. System Architecture — Agent Breakdown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5F" w:color="auto" w:val="clear"/>
            <w:tcMar>
              <w:top w:type="dxa" w:w="100"/>
              <w:left w:type="dxa" w:w="120"/>
              <w:bottom w:type="dxa" w:w="100"/>
              <w:right w:type="dxa" w:w="120"/>
            </w:tcMar>
          </w:tcPr>
          <w:p>
            <w:r>
              <w:rPr>
                <w:b/>
                <w:bCs/>
                <w:color w:val="FFFFFF"/>
                <w:sz w:val="20"/>
                <w:szCs w:val="20"/>
              </w:rPr>
              <w:t xml:space="preserve">Agent</w:t>
            </w:r>
          </w:p>
        </w:tc>
        <w:tc>
          <w:tcPr>
            <w:tcW w:type="dxa" w:w="6900"/>
            <w:shd w:fill="1F4E5F" w:color="auto" w:val="clear"/>
            <w:tcMar>
              <w:top w:type="dxa" w:w="100"/>
              <w:left w:type="dxa" w:w="120"/>
              <w:bottom w:type="dxa" w:w="100"/>
              <w:right w:type="dxa" w:w="120"/>
            </w:tcMar>
          </w:tcPr>
          <w:p>
            <w:r>
              <w:rPr>
                <w:b/>
                <w:bCs/>
                <w:color w:val="FFFFFF"/>
                <w:sz w:val="20"/>
                <w:szCs w:val="20"/>
              </w:rPr>
              <w:t xml:space="preserve">Responsibility</w:t>
            </w:r>
          </w:p>
        </w:tc>
      </w:tr>
      <w:tr>
        <w:tc>
          <w:tcPr>
            <w:tcW w:type="dxa" w:w="2600"/>
            <w:tcMar>
              <w:top w:type="dxa" w:w="100"/>
              <w:left w:type="dxa" w:w="120"/>
              <w:bottom w:type="dxa" w:w="100"/>
              <w:right w:type="dxa" w:w="120"/>
            </w:tcMar>
          </w:tcPr>
          <w:p>
            <w:r>
              <w:rPr>
                <w:b w:val="false"/>
                <w:bCs w:val="false"/>
                <w:color w:val="000000"/>
                <w:sz w:val="20"/>
                <w:szCs w:val="20"/>
              </w:rPr>
              <w:t xml:space="preserve">intake_agent</w:t>
            </w:r>
          </w:p>
        </w:tc>
        <w:tc>
          <w:tcPr>
            <w:tcW w:type="dxa" w:w="6900"/>
            <w:tcMar>
              <w:top w:type="dxa" w:w="100"/>
              <w:left w:type="dxa" w:w="120"/>
              <w:bottom w:type="dxa" w:w="100"/>
              <w:right w:type="dxa" w:w="120"/>
            </w:tcMar>
          </w:tcPr>
          <w:p>
            <w:r>
              <w:rPr>
                <w:b w:val="false"/>
                <w:bCs w:val="false"/>
                <w:color w:val="000000"/>
                <w:sz w:val="20"/>
                <w:szCs w:val="20"/>
              </w:rPr>
              <w:t xml:space="preserve">Parses the family's initial input (deceased's details, accounts, institutions, assets) into structured data.</w:t>
            </w:r>
          </w:p>
        </w:tc>
      </w:tr>
      <w:tr>
        <w:tc>
          <w:tcPr>
            <w:tcW w:type="dxa" w:w="2600"/>
            <w:shd w:fill="EAF2F4" w:color="auto" w:val="clear"/>
            <w:tcMar>
              <w:top w:type="dxa" w:w="100"/>
              <w:left w:type="dxa" w:w="120"/>
              <w:bottom w:type="dxa" w:w="100"/>
              <w:right w:type="dxa" w:w="120"/>
            </w:tcMar>
          </w:tcPr>
          <w:p>
            <w:r>
              <w:rPr>
                <w:b w:val="false"/>
                <w:bCs w:val="false"/>
                <w:color w:val="000000"/>
                <w:sz w:val="20"/>
                <w:szCs w:val="20"/>
              </w:rPr>
              <w:t xml:space="preserve">classifier_agent</w:t>
            </w:r>
          </w:p>
        </w:tc>
        <w:tc>
          <w:tcPr>
            <w:tcW w:type="dxa" w:w="6900"/>
            <w:shd w:fill="EAF2F4" w:color="auto" w:val="clear"/>
            <w:tcMar>
              <w:top w:type="dxa" w:w="100"/>
              <w:left w:type="dxa" w:w="120"/>
              <w:bottom w:type="dxa" w:w="100"/>
              <w:right w:type="dxa" w:w="120"/>
            </w:tcMar>
          </w:tcPr>
          <w:p>
            <w:r>
              <w:rPr>
                <w:b w:val="false"/>
                <w:bCs w:val="false"/>
                <w:color w:val="000000"/>
                <w:sz w:val="20"/>
                <w:szCs w:val="20"/>
              </w:rPr>
              <w:t xml:space="preserve">Determines which documents and institutional processes are required per institution type (bank, insurer, government office, employer).</w:t>
            </w:r>
          </w:p>
        </w:tc>
      </w:tr>
      <w:tr>
        <w:tc>
          <w:tcPr>
            <w:tcW w:type="dxa" w:w="2600"/>
            <w:tcMar>
              <w:top w:type="dxa" w:w="100"/>
              <w:left w:type="dxa" w:w="120"/>
              <w:bottom w:type="dxa" w:w="100"/>
              <w:right w:type="dxa" w:w="120"/>
            </w:tcMar>
          </w:tcPr>
          <w:p>
            <w:r>
              <w:rPr>
                <w:b w:val="false"/>
                <w:bCs w:val="false"/>
                <w:color w:val="000000"/>
                <w:sz w:val="20"/>
                <w:szCs w:val="20"/>
              </w:rPr>
              <w:t xml:space="preserve">priority_agent</w:t>
            </w:r>
          </w:p>
        </w:tc>
        <w:tc>
          <w:tcPr>
            <w:tcW w:type="dxa" w:w="6900"/>
            <w:tcMar>
              <w:top w:type="dxa" w:w="100"/>
              <w:left w:type="dxa" w:w="120"/>
              <w:bottom w:type="dxa" w:w="100"/>
              <w:right w:type="dxa" w:w="120"/>
            </w:tcMar>
          </w:tcPr>
          <w:p>
            <w:r>
              <w:rPr>
                <w:b w:val="false"/>
                <w:bCs w:val="false"/>
                <w:color w:val="000000"/>
                <w:sz w:val="20"/>
                <w:szCs w:val="20"/>
              </w:rPr>
              <w:t xml:space="preserve">Ranks tasks by urgency and dependency — e.g. the death certificate blocks nearly every other task, so it is always sequenced first.</w:t>
            </w:r>
          </w:p>
        </w:tc>
      </w:tr>
      <w:tr>
        <w:tc>
          <w:tcPr>
            <w:tcW w:type="dxa" w:w="2600"/>
            <w:shd w:fill="EAF2F4" w:color="auto" w:val="clear"/>
            <w:tcMar>
              <w:top w:type="dxa" w:w="100"/>
              <w:left w:type="dxa" w:w="120"/>
              <w:bottom w:type="dxa" w:w="100"/>
              <w:right w:type="dxa" w:w="120"/>
            </w:tcMar>
          </w:tcPr>
          <w:p>
            <w:r>
              <w:rPr>
                <w:b w:val="false"/>
                <w:bCs w:val="false"/>
                <w:color w:val="000000"/>
                <w:sz w:val="20"/>
                <w:szCs w:val="20"/>
              </w:rPr>
              <w:t xml:space="preserve">drafting_agent</w:t>
            </w:r>
          </w:p>
        </w:tc>
        <w:tc>
          <w:tcPr>
            <w:tcW w:type="dxa" w:w="6900"/>
            <w:shd w:fill="EAF2F4" w:color="auto" w:val="clear"/>
            <w:tcMar>
              <w:top w:type="dxa" w:w="100"/>
              <w:left w:type="dxa" w:w="120"/>
              <w:bottom w:type="dxa" w:w="100"/>
              <w:right w:type="dxa" w:w="120"/>
            </w:tcMar>
          </w:tcPr>
          <w:p>
            <w:r>
              <w:rPr>
                <w:b w:val="false"/>
                <w:bCs w:val="false"/>
                <w:color w:val="000000"/>
                <w:sz w:val="20"/>
                <w:szCs w:val="20"/>
              </w:rPr>
              <w:t xml:space="preserve">Generates the actual letters, emails, and application drafts required for each task, using structured templates filled in by the LLM.</w:t>
            </w:r>
          </w:p>
        </w:tc>
      </w:tr>
      <w:tr>
        <w:tc>
          <w:tcPr>
            <w:tcW w:type="dxa" w:w="2600"/>
            <w:tcMar>
              <w:top w:type="dxa" w:w="100"/>
              <w:left w:type="dxa" w:w="120"/>
              <w:bottom w:type="dxa" w:w="100"/>
              <w:right w:type="dxa" w:w="120"/>
            </w:tcMar>
          </w:tcPr>
          <w:p>
            <w:r>
              <w:rPr>
                <w:b w:val="false"/>
                <w:bCs w:val="false"/>
                <w:color w:val="000000"/>
                <w:sz w:val="20"/>
                <w:szCs w:val="20"/>
              </w:rPr>
              <w:t xml:space="preserve">followup_agent</w:t>
            </w:r>
          </w:p>
        </w:tc>
        <w:tc>
          <w:tcPr>
            <w:tcW w:type="dxa" w:w="6900"/>
            <w:tcMar>
              <w:top w:type="dxa" w:w="100"/>
              <w:left w:type="dxa" w:w="120"/>
              <w:bottom w:type="dxa" w:w="100"/>
              <w:right w:type="dxa" w:w="120"/>
            </w:tcMar>
          </w:tcPr>
          <w:p>
            <w:r>
              <w:rPr>
                <w:b w:val="false"/>
                <w:bCs w:val="false"/>
                <w:color w:val="000000"/>
                <w:sz w:val="20"/>
                <w:szCs w:val="20"/>
              </w:rPr>
              <w:t xml:space="preserve">Monitors task status and drafts a follow-up nudge if an institution has not responded within a set window.</w:t>
            </w:r>
          </w:p>
        </w:tc>
      </w:tr>
      <w:tr>
        <w:tc>
          <w:tcPr>
            <w:tcW w:type="dxa" w:w="2600"/>
            <w:shd w:fill="EAF2F4" w:color="auto" w:val="clear"/>
            <w:tcMar>
              <w:top w:type="dxa" w:w="100"/>
              <w:left w:type="dxa" w:w="120"/>
              <w:bottom w:type="dxa" w:w="100"/>
              <w:right w:type="dxa" w:w="120"/>
            </w:tcMar>
          </w:tcPr>
          <w:p>
            <w:r>
              <w:rPr>
                <w:b w:val="false"/>
                <w:bCs w:val="false"/>
                <w:color w:val="000000"/>
                <w:sz w:val="20"/>
                <w:szCs w:val="20"/>
              </w:rPr>
              <w:t xml:space="preserve">decision_agent</w:t>
            </w:r>
          </w:p>
        </w:tc>
        <w:tc>
          <w:tcPr>
            <w:tcW w:type="dxa" w:w="6900"/>
            <w:shd w:fill="EAF2F4" w:color="auto" w:val="clear"/>
            <w:tcMar>
              <w:top w:type="dxa" w:w="100"/>
              <w:left w:type="dxa" w:w="120"/>
              <w:bottom w:type="dxa" w:w="100"/>
              <w:right w:type="dxa" w:w="120"/>
            </w:tcMar>
          </w:tcPr>
          <w:p>
            <w:r>
              <w:rPr>
                <w:b w:val="false"/>
                <w:bCs w:val="false"/>
                <w:color w:val="000000"/>
                <w:sz w:val="20"/>
                <w:szCs w:val="20"/>
              </w:rPr>
              <w:t xml:space="preserve">The orchestrator — sequences all other agents, applies task-dependency logic, and enforces that every outgoing communication passes through human approval before being marked as sent.</w:t>
            </w:r>
          </w:p>
        </w:tc>
      </w:tr>
    </w:tbl>
    <w:p>
      <w:pPr>
        <w:pStyle w:val="Heading1"/>
        <w:pBdr>
          <w:bottom w:val="single" w:color="1F4E5F" w:sz="6" w:space="4"/>
        </w:pBdr>
        <w:spacing w:after="200" w:before="400"/>
      </w:pPr>
      <w:r>
        <w:rPr>
          <w:b/>
          <w:bCs/>
          <w:color w:val="1F4E5F"/>
        </w:rPr>
        <w:t xml:space="preserve">7. Process Workflow</w:t>
      </w:r>
    </w:p>
    <w:p>
      <w:pPr>
        <w:pStyle w:val="ListParagraph"/>
        <w:numPr>
          <w:ilvl w:val="0"/>
          <w:numId w:val="2"/>
        </w:numPr>
        <w:spacing w:after="80" w:line="280"/>
      </w:pPr>
      <w:r>
        <w:t xml:space="preserve">Family submits intake details through a simple form (deceased's name, date of death, banks, insurers, employer, property, family contact).</w:t>
      </w:r>
    </w:p>
    <w:p>
      <w:pPr>
        <w:pStyle w:val="ListParagraph"/>
        <w:numPr>
          <w:ilvl w:val="0"/>
          <w:numId w:val="2"/>
        </w:numPr>
        <w:spacing w:after="80" w:line="280"/>
      </w:pPr>
      <w:r>
        <w:t xml:space="preserve">intake_agent structures this into a normalised data object.</w:t>
      </w:r>
    </w:p>
    <w:p>
      <w:pPr>
        <w:pStyle w:val="ListParagraph"/>
        <w:numPr>
          <w:ilvl w:val="0"/>
          <w:numId w:val="2"/>
        </w:numPr>
        <w:spacing w:after="80" w:line="280"/>
      </w:pPr>
      <w:r>
        <w:t xml:space="preserve">classifier_agent + priority_agent produce a ranked task list, each with institution, task type, and required documents.</w:t>
      </w:r>
    </w:p>
    <w:p>
      <w:pPr>
        <w:pStyle w:val="ListParagraph"/>
        <w:numPr>
          <w:ilvl w:val="0"/>
          <w:numId w:val="2"/>
        </w:numPr>
        <w:spacing w:after="80" w:line="280"/>
      </w:pPr>
      <w:r>
        <w:t xml:space="preserve">Each task is stored as a row in the case-tracking database, with status "Not Started".</w:t>
      </w:r>
    </w:p>
    <w:p>
      <w:pPr>
        <w:pStyle w:val="ListParagraph"/>
        <w:numPr>
          <w:ilvl w:val="0"/>
          <w:numId w:val="2"/>
        </w:numPr>
        <w:spacing w:after="80" w:line="280"/>
      </w:pPr>
      <w:r>
        <w:t xml:space="preserve">drafting_agent generates the letter/application for each task and sets status to "Awaiting Approval".</w:t>
      </w:r>
    </w:p>
    <w:p>
      <w:pPr>
        <w:pStyle w:val="ListParagraph"/>
        <w:numPr>
          <w:ilvl w:val="0"/>
          <w:numId w:val="2"/>
        </w:numPr>
        <w:spacing w:after="80" w:line="280"/>
      </w:pPr>
      <w:r>
        <w:t xml:space="preserve">Family reviews and approves (or edits) each draft via the dashboard.</w:t>
      </w:r>
    </w:p>
    <w:p>
      <w:pPr>
        <w:pStyle w:val="ListParagraph"/>
        <w:numPr>
          <w:ilvl w:val="0"/>
          <w:numId w:val="2"/>
        </w:numPr>
        <w:spacing w:after="80" w:line="280"/>
      </w:pPr>
      <w:r>
        <w:t xml:space="preserve">Once approved, the system marks the task "Sent" (and can dispatch by email where applicable).</w:t>
      </w:r>
    </w:p>
    <w:p>
      <w:pPr>
        <w:pStyle w:val="ListParagraph"/>
        <w:numPr>
          <w:ilvl w:val="0"/>
          <w:numId w:val="2"/>
        </w:numPr>
        <w:spacing w:after="80" w:line="280"/>
      </w:pPr>
      <w:r>
        <w:t xml:space="preserve">followup_agent checks in periodically; if no response is logged after the expected window, it drafts a follow-up nudge, again pending human approval.</w:t>
      </w:r>
    </w:p>
    <w:p>
      <w:pPr>
        <w:pStyle w:val="ListParagraph"/>
        <w:numPr>
          <w:ilvl w:val="0"/>
          <w:numId w:val="2"/>
        </w:numPr>
        <w:spacing w:after="80" w:line="280"/>
      </w:pPr>
      <w:r>
        <w:t xml:space="preserve">Task is marked "Completed" once the family confirms resolution.</w:t>
      </w:r>
    </w:p>
    <w:p>
      <w:pPr>
        <w:pStyle w:val="Heading1"/>
        <w:pBdr>
          <w:bottom w:val="single" w:color="1F4E5F" w:sz="6" w:space="4"/>
        </w:pBdr>
        <w:spacing w:after="200" w:before="400"/>
      </w:pPr>
      <w:r>
        <w:rPr>
          <w:b/>
          <w:bCs/>
          <w:color w:val="1F4E5F"/>
        </w:rPr>
        <w:t xml:space="preserve">8. Human-in-the-Loop Design</w:t>
      </w:r>
    </w:p>
    <w:p>
      <w:pPr>
        <w:spacing w:after="160" w:line="300"/>
      </w:pPr>
      <w:r>
        <w:t xml:space="preserve">Because this system touches legal, financial, and emotionally sensitive matters, no communication is ever sent without explicit human approval. Every draft produced by the drafting_agent or followup_agent is routed to a review state in the dashboard, where the family member can approve, edit, or reject it before it is dispatched. This is a deliberate design choice: the system's role is to remove the burden of figuring out what needs to be done and drafting it — not to make unsupervised decisions on a family's behalf.</w:t>
      </w:r>
    </w:p>
    <w:p>
      <w:pPr>
        <w:pStyle w:val="Heading1"/>
        <w:pBdr>
          <w:bottom w:val="single" w:color="1F4E5F" w:sz="6" w:space="4"/>
        </w:pBdr>
        <w:spacing w:after="200" w:before="400"/>
      </w:pPr>
      <w:r>
        <w:rPr>
          <w:b/>
          <w:bCs/>
          <w:color w:val="1F4E5F"/>
        </w:rPr>
        <w:t xml:space="preserve">9.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color="auto" w:val="clear"/>
            <w:tcMar>
              <w:top w:type="dxa" w:w="100"/>
              <w:left w:type="dxa" w:w="120"/>
              <w:bottom w:type="dxa" w:w="100"/>
              <w:right w:type="dxa" w:w="120"/>
            </w:tcMar>
          </w:tcPr>
          <w:p>
            <w:r>
              <w:rPr>
                <w:b/>
                <w:bCs/>
                <w:color w:val="FFFFFF"/>
                <w:sz w:val="20"/>
                <w:szCs w:val="20"/>
              </w:rPr>
              <w:t xml:space="preserve">Layer</w:t>
            </w:r>
          </w:p>
        </w:tc>
        <w:tc>
          <w:tcPr>
            <w:tcW w:type="dxa" w:w="6300"/>
            <w:shd w:fill="1F4E5F" w:color="auto" w:val="clear"/>
            <w:tcMar>
              <w:top w:type="dxa" w:w="100"/>
              <w:left w:type="dxa" w:w="120"/>
              <w:bottom w:type="dxa" w:w="100"/>
              <w:right w:type="dxa" w:w="120"/>
            </w:tcMar>
          </w:tcPr>
          <w:p>
            <w:r>
              <w:rPr>
                <w:b/>
                <w:bCs/>
                <w:color w:val="FFFFFF"/>
                <w:sz w:val="20"/>
                <w:szCs w:val="20"/>
              </w:rPr>
              <w:t xml:space="preserve">Technology</w:t>
            </w:r>
          </w:p>
        </w:tc>
      </w:tr>
      <w:tr>
        <w:tc>
          <w:tcPr>
            <w:tcW w:type="dxa" w:w="3200"/>
            <w:tcMar>
              <w:top w:type="dxa" w:w="100"/>
              <w:left w:type="dxa" w:w="120"/>
              <w:bottom w:type="dxa" w:w="100"/>
              <w:right w:type="dxa" w:w="120"/>
            </w:tcMar>
          </w:tcPr>
          <w:p>
            <w:r>
              <w:rPr>
                <w:b w:val="false"/>
                <w:bCs w:val="false"/>
                <w:color w:val="000000"/>
                <w:sz w:val="20"/>
                <w:szCs w:val="20"/>
              </w:rPr>
              <w:t xml:space="preserve">Backend framework</w:t>
            </w:r>
          </w:p>
        </w:tc>
        <w:tc>
          <w:tcPr>
            <w:tcW w:type="dxa" w:w="6300"/>
            <w:tcMar>
              <w:top w:type="dxa" w:w="100"/>
              <w:left w:type="dxa" w:w="120"/>
              <w:bottom w:type="dxa" w:w="100"/>
              <w:right w:type="dxa" w:w="120"/>
            </w:tcMar>
          </w:tcPr>
          <w:p>
            <w:r>
              <w:rPr>
                <w:b w:val="false"/>
                <w:bCs w:val="false"/>
                <w:color w:val="000000"/>
                <w:sz w:val="20"/>
                <w:szCs w:val="20"/>
              </w:rPr>
              <w:t xml:space="preserve">FastAPI (Python)</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LLM backend</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Groq API (llama-3.3-70b-versatile) via a swappable llm_client.py abstraction</w:t>
            </w:r>
          </w:p>
        </w:tc>
      </w:tr>
      <w:tr>
        <w:tc>
          <w:tcPr>
            <w:tcW w:type="dxa" w:w="3200"/>
            <w:tcMar>
              <w:top w:type="dxa" w:w="100"/>
              <w:left w:type="dxa" w:w="120"/>
              <w:bottom w:type="dxa" w:w="100"/>
              <w:right w:type="dxa" w:w="120"/>
            </w:tcMar>
          </w:tcPr>
          <w:p>
            <w:r>
              <w:rPr>
                <w:b w:val="false"/>
                <w:bCs w:val="false"/>
                <w:color w:val="000000"/>
                <w:sz w:val="20"/>
                <w:szCs w:val="20"/>
              </w:rPr>
              <w:t xml:space="preserve">Data validation</w:t>
            </w:r>
          </w:p>
        </w:tc>
        <w:tc>
          <w:tcPr>
            <w:tcW w:type="dxa" w:w="6300"/>
            <w:tcMar>
              <w:top w:type="dxa" w:w="100"/>
              <w:left w:type="dxa" w:w="120"/>
              <w:bottom w:type="dxa" w:w="100"/>
              <w:right w:type="dxa" w:w="120"/>
            </w:tcMar>
          </w:tcPr>
          <w:p>
            <w:r>
              <w:rPr>
                <w:b w:val="false"/>
                <w:bCs w:val="false"/>
                <w:color w:val="000000"/>
                <w:sz w:val="20"/>
                <w:szCs w:val="20"/>
              </w:rPr>
              <w:t xml:space="preserve">Pydantic — structured, validated output from every agent</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Database</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SQLite (hackathon/demo scope) or PostgreSQL with SQLAlchemy ORM</w:t>
            </w:r>
          </w:p>
        </w:tc>
      </w:tr>
      <w:tr>
        <w:tc>
          <w:tcPr>
            <w:tcW w:type="dxa" w:w="3200"/>
            <w:tcMar>
              <w:top w:type="dxa" w:w="100"/>
              <w:left w:type="dxa" w:w="120"/>
              <w:bottom w:type="dxa" w:w="100"/>
              <w:right w:type="dxa" w:w="120"/>
            </w:tcMar>
          </w:tcPr>
          <w:p>
            <w:r>
              <w:rPr>
                <w:b w:val="false"/>
                <w:bCs w:val="false"/>
                <w:color w:val="000000"/>
                <w:sz w:val="20"/>
                <w:szCs w:val="20"/>
              </w:rPr>
              <w:t xml:space="preserve">Frontend</w:t>
            </w:r>
          </w:p>
        </w:tc>
        <w:tc>
          <w:tcPr>
            <w:tcW w:type="dxa" w:w="6300"/>
            <w:tcMar>
              <w:top w:type="dxa" w:w="100"/>
              <w:left w:type="dxa" w:w="120"/>
              <w:bottom w:type="dxa" w:w="100"/>
              <w:right w:type="dxa" w:w="120"/>
            </w:tcMar>
          </w:tcPr>
          <w:p>
            <w:r>
              <w:rPr>
                <w:b w:val="false"/>
                <w:bCs w:val="false"/>
                <w:color w:val="000000"/>
                <w:sz w:val="20"/>
                <w:szCs w:val="20"/>
              </w:rPr>
              <w:t xml:space="preserve">React with Tailwind CSS</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API communication</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Axios / fetch</w:t>
            </w:r>
          </w:p>
        </w:tc>
      </w:tr>
      <w:tr>
        <w:tc>
          <w:tcPr>
            <w:tcW w:type="dxa" w:w="3200"/>
            <w:tcMar>
              <w:top w:type="dxa" w:w="100"/>
              <w:left w:type="dxa" w:w="120"/>
              <w:bottom w:type="dxa" w:w="100"/>
              <w:right w:type="dxa" w:w="120"/>
            </w:tcMar>
          </w:tcPr>
          <w:p>
            <w:r>
              <w:rPr>
                <w:b w:val="false"/>
                <w:bCs w:val="false"/>
                <w:color w:val="000000"/>
                <w:sz w:val="20"/>
                <w:szCs w:val="20"/>
              </w:rPr>
              <w:t xml:space="preserve">Document generation</w:t>
            </w:r>
          </w:p>
        </w:tc>
        <w:tc>
          <w:tcPr>
            <w:tcW w:type="dxa" w:w="6300"/>
            <w:tcMar>
              <w:top w:type="dxa" w:w="100"/>
              <w:left w:type="dxa" w:w="120"/>
              <w:bottom w:type="dxa" w:w="100"/>
              <w:right w:type="dxa" w:w="120"/>
            </w:tcMar>
          </w:tcPr>
          <w:p>
            <w:r>
              <w:rPr>
                <w:b w:val="false"/>
                <w:bCs w:val="false"/>
                <w:color w:val="000000"/>
                <w:sz w:val="20"/>
                <w:szCs w:val="20"/>
              </w:rPr>
              <w:t xml:space="preserve">ReportLab or python-docx, templated with Jinja2</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Email dispatch (optional)</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Gmail API or SMTP via smtplib</w:t>
            </w:r>
          </w:p>
        </w:tc>
      </w:tr>
      <w:tr>
        <w:tc>
          <w:tcPr>
            <w:tcW w:type="dxa" w:w="3200"/>
            <w:tcMar>
              <w:top w:type="dxa" w:w="100"/>
              <w:left w:type="dxa" w:w="120"/>
              <w:bottom w:type="dxa" w:w="100"/>
              <w:right w:type="dxa" w:w="120"/>
            </w:tcMar>
          </w:tcPr>
          <w:p>
            <w:r>
              <w:rPr>
                <w:b w:val="false"/>
                <w:bCs w:val="false"/>
                <w:color w:val="000000"/>
                <w:sz w:val="20"/>
                <w:szCs w:val="20"/>
              </w:rPr>
              <w:t xml:space="preserve">Task scheduling</w:t>
            </w:r>
          </w:p>
        </w:tc>
        <w:tc>
          <w:tcPr>
            <w:tcW w:type="dxa" w:w="6300"/>
            <w:tcMar>
              <w:top w:type="dxa" w:w="100"/>
              <w:left w:type="dxa" w:w="120"/>
              <w:bottom w:type="dxa" w:w="100"/>
              <w:right w:type="dxa" w:w="120"/>
            </w:tcMar>
          </w:tcPr>
          <w:p>
            <w:r>
              <w:rPr>
                <w:b w:val="false"/>
                <w:bCs w:val="false"/>
                <w:color w:val="000000"/>
                <w:sz w:val="20"/>
                <w:szCs w:val="20"/>
              </w:rPr>
              <w:t xml:space="preserve">APScheduler — for periodic follow-up checks</w:t>
            </w:r>
          </w:p>
        </w:tc>
      </w:tr>
      <w:tr>
        <w:tc>
          <w:tcPr>
            <w:tcW w:type="dxa" w:w="3200"/>
            <w:shd w:fill="EAF2F4" w:color="auto" w:val="clear"/>
            <w:tcMar>
              <w:top w:type="dxa" w:w="100"/>
              <w:left w:type="dxa" w:w="120"/>
              <w:bottom w:type="dxa" w:w="100"/>
              <w:right w:type="dxa" w:w="120"/>
            </w:tcMar>
          </w:tcPr>
          <w:p>
            <w:r>
              <w:rPr>
                <w:b w:val="false"/>
                <w:bCs w:val="false"/>
                <w:color w:val="000000"/>
                <w:sz w:val="20"/>
                <w:szCs w:val="20"/>
              </w:rPr>
              <w:t xml:space="preserve">Authentication</w:t>
            </w:r>
          </w:p>
        </w:tc>
        <w:tc>
          <w:tcPr>
            <w:tcW w:type="dxa" w:w="6300"/>
            <w:shd w:fill="EAF2F4" w:color="auto" w:val="clear"/>
            <w:tcMar>
              <w:top w:type="dxa" w:w="100"/>
              <w:left w:type="dxa" w:w="120"/>
              <w:bottom w:type="dxa" w:w="100"/>
              <w:right w:type="dxa" w:w="120"/>
            </w:tcMar>
          </w:tcPr>
          <w:p>
            <w:r>
              <w:rPr>
                <w:b w:val="false"/>
                <w:bCs w:val="false"/>
                <w:color w:val="000000"/>
                <w:sz w:val="20"/>
                <w:szCs w:val="20"/>
              </w:rPr>
              <w:t xml:space="preserve">JWT (FastAPI OAuth2PasswordBearer) or simple API-key scheme</w:t>
            </w:r>
          </w:p>
        </w:tc>
      </w:tr>
      <w:tr>
        <w:tc>
          <w:tcPr>
            <w:tcW w:type="dxa" w:w="3200"/>
            <w:tcMar>
              <w:top w:type="dxa" w:w="100"/>
              <w:left w:type="dxa" w:w="120"/>
              <w:bottom w:type="dxa" w:w="100"/>
              <w:right w:type="dxa" w:w="120"/>
            </w:tcMar>
          </w:tcPr>
          <w:p>
            <w:r>
              <w:rPr>
                <w:b w:val="false"/>
                <w:bCs w:val="false"/>
                <w:color w:val="000000"/>
                <w:sz w:val="20"/>
                <w:szCs w:val="20"/>
              </w:rPr>
              <w:t xml:space="preserve">Deployment</w:t>
            </w:r>
          </w:p>
        </w:tc>
        <w:tc>
          <w:tcPr>
            <w:tcW w:type="dxa" w:w="6300"/>
            <w:tcMar>
              <w:top w:type="dxa" w:w="100"/>
              <w:left w:type="dxa" w:w="120"/>
              <w:bottom w:type="dxa" w:w="100"/>
              <w:right w:type="dxa" w:w="120"/>
            </w:tcMar>
          </w:tcPr>
          <w:p>
            <w:r>
              <w:rPr>
                <w:b w:val="false"/>
                <w:bCs w:val="false"/>
                <w:color w:val="000000"/>
                <w:sz w:val="20"/>
                <w:szCs w:val="20"/>
              </w:rPr>
              <w:t xml:space="preserve">Render/Railway (backend), Vercel/Netlify (frontend)</w:t>
            </w:r>
          </w:p>
        </w:tc>
      </w:tr>
    </w:tbl>
    <w:p>
      <w:pPr>
        <w:pStyle w:val="Heading1"/>
        <w:pBdr>
          <w:bottom w:val="single" w:color="1F4E5F" w:sz="6" w:space="4"/>
        </w:pBdr>
        <w:spacing w:after="200" w:before="400"/>
      </w:pPr>
      <w:r>
        <w:rPr>
          <w:b/>
          <w:bCs/>
          <w:color w:val="1F4E5F"/>
        </w:rPr>
        <w:t xml:space="preserve">10. Why This Project Is Unique</w:t>
      </w:r>
    </w:p>
    <w:p>
      <w:pPr>
        <w:spacing w:after="160" w:line="300"/>
      </w:pPr>
      <w:r>
        <w:t xml:space="preserve">Most AI-for-social-good projects target well-covered problems — agriculture, healthcare chatbots, education tools — where dozens of comparable solutions already exist. Post-death administrative burden is a universal, recurring problem that virtually no dedicated system addresses, despite affecting every family eventually. The project also naturally justifies a human-in-the-loop architecture, which is a stronger and more mature narrative than "AI replaces a human process" — here, AI absorbs the research and drafting labor while the human retains full control over anything irreversible.</w:t>
      </w:r>
    </w:p>
    <w:p>
      <w:pPr>
        <w:pStyle w:val="Heading1"/>
        <w:pBdr>
          <w:bottom w:val="single" w:color="1F4E5F" w:sz="6" w:space="4"/>
        </w:pBdr>
        <w:spacing w:after="200" w:before="400"/>
      </w:pPr>
      <w:r>
        <w:rPr>
          <w:b/>
          <w:bCs/>
          <w:color w:val="1F4E5F"/>
        </w:rPr>
        <w:t xml:space="preserve">11. Feasibility and Known Limitations</w:t>
      </w:r>
    </w:p>
    <w:p>
      <w:pPr>
        <w:pStyle w:val="ListParagraph"/>
        <w:numPr>
          <w:ilvl w:val="0"/>
          <w:numId w:val="2"/>
        </w:numPr>
        <w:spacing w:after="80" w:line="280"/>
      </w:pPr>
      <w:r>
        <w:t xml:space="preserve">The system does not integrate directly with real bank, insurer, or government transaction systems within hackathon scope — it produces correct, ready-to-submit drafts rather than automating the institutional side.</w:t>
      </w:r>
    </w:p>
    <w:p>
      <w:pPr>
        <w:pStyle w:val="ListParagraph"/>
        <w:numPr>
          <w:ilvl w:val="0"/>
          <w:numId w:val="2"/>
        </w:numPr>
        <w:spacing w:after="80" w:line="280"/>
      </w:pPr>
      <w:r>
        <w:t xml:space="preserve">Document and process requirements vary by state/institution in India; the classifier_agent's knowledge base would need to be scoped to a representative subset of institutions for a demo, with room to expand.</w:t>
      </w:r>
    </w:p>
    <w:p>
      <w:pPr>
        <w:pStyle w:val="ListParagraph"/>
        <w:numPr>
          <w:ilvl w:val="0"/>
          <w:numId w:val="2"/>
        </w:numPr>
        <w:spacing w:after="80" w:line="280"/>
      </w:pPr>
      <w:r>
        <w:t xml:space="preserve">Accuracy of legal/procedural requirements should be reviewed against current government guidelines before any real-world use — the system supports and accelerates the process, but does not replace legal advice.</w:t>
      </w:r>
    </w:p>
    <w:p>
      <w:pPr>
        <w:pStyle w:val="Heading1"/>
        <w:pBdr>
          <w:bottom w:val="single" w:color="1F4E5F" w:sz="6" w:space="4"/>
        </w:pBdr>
        <w:spacing w:after="200" w:before="400"/>
      </w:pPr>
      <w:r>
        <w:rPr>
          <w:b/>
          <w:bCs/>
          <w:color w:val="1F4E5F"/>
        </w:rPr>
        <w:t xml:space="preserve">12. Future Scope</w:t>
      </w:r>
    </w:p>
    <w:p>
      <w:pPr>
        <w:pStyle w:val="ListParagraph"/>
        <w:numPr>
          <w:ilvl w:val="0"/>
          <w:numId w:val="2"/>
        </w:numPr>
        <w:spacing w:after="80" w:line="280"/>
      </w:pPr>
      <w:r>
        <w:t xml:space="preserve">Direct API integration with select banks and insurers that support digital claim submission.</w:t>
      </w:r>
    </w:p>
    <w:p>
      <w:pPr>
        <w:pStyle w:val="ListParagraph"/>
        <w:numPr>
          <w:ilvl w:val="0"/>
          <w:numId w:val="2"/>
        </w:numPr>
        <w:spacing w:after="80" w:line="280"/>
      </w:pPr>
      <w:r>
        <w:t xml:space="preserve">Multilingual support for intake and drafted communications, given India's linguistic diversity.</w:t>
      </w:r>
    </w:p>
    <w:p>
      <w:pPr>
        <w:pStyle w:val="ListParagraph"/>
        <w:numPr>
          <w:ilvl w:val="0"/>
          <w:numId w:val="2"/>
        </w:numPr>
        <w:spacing w:after="80" w:line="280"/>
      </w:pPr>
      <w:r>
        <w:t xml:space="preserve">A verified template library covering state-specific succession and inheritance procedures.</w:t>
      </w:r>
    </w:p>
    <w:p>
      <w:pPr>
        <w:pStyle w:val="ListParagraph"/>
        <w:numPr>
          <w:ilvl w:val="0"/>
          <w:numId w:val="2"/>
        </w:numPr>
        <w:spacing w:after="80" w:line="280"/>
      </w:pPr>
      <w:r>
        <w:t xml:space="preserve">Voice-based intake for family members with limited literacy or digital access.</w:t>
      </w:r>
    </w:p>
    <w:p>
      <w:pPr>
        <w:pStyle w:val="Heading1"/>
        <w:pBdr>
          <w:bottom w:val="single" w:color="1F4E5F" w:sz="6" w:space="4"/>
        </w:pBdr>
        <w:spacing w:after="200" w:before="400"/>
      </w:pPr>
      <w:r>
        <w:rPr>
          <w:b/>
          <w:bCs/>
          <w:color w:val="1F4E5F"/>
        </w:rPr>
        <w:t xml:space="preserve">13. Conclusion</w:t>
      </w:r>
    </w:p>
    <w:p>
      <w:pPr>
        <w:spacing w:after="160" w:line="300"/>
      </w:pPr>
      <w:r>
        <w:t xml:space="preserve">Sahara.ai addresses a problem that is universal, currently unserved, and deeply tied to financial and institutional justice — particularly for women and economically vulnerable households. By combining a multi-agent architecture with a strict human-approval layer, the project demonstrates both technical depth and responsible AI design, making it a strong candidate for a hackathon submission built around AI Automation and Intelligent Solutions.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2026-07-19T07:44:32.296Z</dcterms:created>
  <dcterms:modified xsi:type="dcterms:W3CDTF">2026-07-19T07:44:32.297Z</dcterms:modified>
</cp:coreProperties>
</file>

<file path=docProps/custom.xml><?xml version="1.0" encoding="utf-8"?>
<Properties xmlns="http://schemas.openxmlformats.org/officeDocument/2006/custom-properties" xmlns:vt="http://schemas.openxmlformats.org/officeDocument/2006/docPropsVTypes"/>
</file>