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pPr>
        <w:pStyle w:val="Heading2"/>
      </w:pPr>
      <w:r>
        <w:t>System overview (Docker Compose)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4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4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decisions</w:t>
      </w:r>
    </w:p>
    <w:p>
      <w:pPr>
        <w:pStyle w:val="ListBullet"/>
      </w:pPr>
      <w:r>
        <w:rPr>
          <w:b/>
        </w:rPr>
        <w:t>Channel-agnostic core.</w:t>
      </w:r>
      <w:r>
        <w:t xml:space="preserve"> All conversation logic lives behind </w:t>
      </w:r>
      <w:r>
        <w:rPr>
          <w:rFonts w:ascii="Consolas" w:hAnsi="Consolas"/>
          <w:color w:val="B03060"/>
          <w:sz w:val="19"/>
        </w:rPr>
        <w:t>processIncomingMessage(payload)</w:t>
      </w:r>
      <w:r>
        <w:t xml:space="preserve">. The PWA hits it via </w:t>
      </w:r>
      <w:r>
        <w:rPr>
          <w:rFonts w:ascii="Consolas" w:hAnsi="Consolas"/>
          <w:color w:val="B03060"/>
          <w:sz w:val="19"/>
        </w:rPr>
        <w:t>POST /api/message</w:t>
      </w:r>
      <w:r>
        <w:t>; WhatsApp reaches the same function through n8n (primary) or the Express adapter (fallback). Adapters only translate message formats — no business logic.</w:t>
      </w:r>
    </w:p>
    <w:p>
      <w:pPr>
        <w:pStyle w:val="ListBullet"/>
      </w:pPr>
      <w:r>
        <w:rPr>
          <w:b/>
        </w:rPr>
        <w:t>n8n as the WhatsApp orchestration layer.</w:t>
      </w:r>
      <w:r>
        <w:t xml:space="preserve"> The webhook handshake, envelope translation, backend call, and Graph API reply are a visual, editable workflow (</w:t>
      </w:r>
      <w:r>
        <w:rPr>
          <w:rFonts w:ascii="Consolas" w:hAnsi="Consolas"/>
          <w:color w:val="B03060"/>
          <w:sz w:val="19"/>
        </w:rPr>
        <w:t>n8n/workflows/bluewings-whatsapp.json</w:t>
      </w:r>
      <w:r>
        <w:t>), auto-imported and activated when the container starts.</w:t>
      </w:r>
    </w:p>
    <w:p>
      <w:pPr>
        <w:pStyle w:val="ListBullet"/>
      </w:pPr>
      <w:r>
        <w:rPr>
          <w:b/>
        </w:rPr>
        <w:t>LLM with a deterministic safety net.</w:t>
      </w:r>
      <w:r>
        <w:t xml:space="preserve"> OpenRouter (comma-separated model fallback list, max 3) parses intent; output is zod-validated. On timeout (9s), non-200, invalid JSON, or confidence &lt; 0.55, a keyword router takes over — an LLM outage never breaks a flow. Mid-flow inputs (slot values like "BOM" or "yes") skip the LLM entirely.</w:t>
      </w:r>
    </w:p>
    <w:p>
      <w:pPr>
        <w:pStyle w:val="ListBullet"/>
      </w:pPr>
      <w:r>
        <w:rPr>
          <w:b/>
        </w:rPr>
        <w:t>Dialogue state in the database.</w:t>
      </w:r>
      <w:r>
        <w:t xml:space="preserve"> </w:t>
      </w:r>
      <w:r>
        <w:rPr>
          <w:rFonts w:ascii="Consolas" w:hAnsi="Consolas"/>
          <w:color w:val="B03060"/>
          <w:sz w:val="19"/>
        </w:rPr>
        <w:t>ConversationSession</w:t>
      </w:r>
      <w:r>
        <w:t xml:space="preserve"> stores flow, step, slots, and the handoff flag per (channel, userId), so conversations survive restarts and work identically across channels.</w:t>
      </w:r>
    </w:p>
    <w:p>
      <w:pPr>
        <w:pStyle w:val="ListBullet"/>
      </w:pPr>
      <w:r>
        <w:rPr>
          <w:b/>
        </w:rPr>
        <w:t>All booking mutations in `prisma.$transaction()`</w:t>
      </w:r>
      <w:r>
        <w:t xml:space="preserve"> — no partial writes.</w:t>
      </w:r>
    </w:p>
    <w:p>
      <w:pPr>
        <w:pStyle w:val="ListBullet"/>
      </w:pPr>
      <w:r>
        <w:rPr>
          <w:b/>
        </w:rPr>
        <w:t>Verify once per session.</w:t>
      </w:r>
      <w:r>
        <w:t xml:space="preserve"> A successful PNR + last-name check is stored in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ConversationSession.auth</w:t>
      </w:r>
      <w:r>
        <w:t>; servicing the same PNR again skips re-auth, and a</w:t>
      </w:r>
    </w:p>
    <w:p>
      <w:r>
        <w:t xml:space="preserve">  fresh booking marks its PNR verified.</w:t>
      </w:r>
    </w:p>
    <w:p>
      <w:pPr>
        <w:pStyle w:val="ListBullet"/>
      </w:pPr>
      <w:r>
        <w:rPr>
          <w:b/>
        </w:rPr>
        <w:t>CX extras ride on the same response.</w:t>
      </w:r>
      <w:r>
        <w:t xml:space="preserve"> </w:t>
      </w:r>
      <w:r>
        <w:rPr>
          <w:rFonts w:ascii="Consolas" w:hAnsi="Consolas"/>
          <w:color w:val="B03060"/>
          <w:sz w:val="19"/>
        </w:rPr>
        <w:t>suggestions</w:t>
      </w:r>
      <w:r>
        <w:t xml:space="preserve"> (quick-reply chips) and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ticketUrl</w:t>
      </w:r>
      <w:r>
        <w:t xml:space="preserve"> (on-demand PDF e-ticket, re-authenticated by the endpoint) are</w:t>
      </w:r>
    </w:p>
    <w:p>
      <w:r>
        <w:t xml:space="preserve">  channel-optional fields — the PWA renders them, WhatsApp falls back to</w:t>
      </w:r>
    </w:p>
    <w:p>
      <w:r>
        <w:t xml:space="preserve">  numbered text options.</w:t>
      </w:r>
    </w:p>
    <w:p>
      <w:pPr>
        <w:pStyle w:val="Heading2"/>
      </w:pPr>
      <w:r>
        <w:t>Conversation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5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53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