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5CCEE" w14:textId="77777777" w:rsidR="00113A95" w:rsidRDefault="00000000" w:rsidP="00D03B12">
      <w:pPr>
        <w:pStyle w:val="Heading1"/>
        <w:jc w:val="center"/>
      </w:pPr>
      <w:r>
        <w:t>Data Visualizations Report</w:t>
      </w:r>
    </w:p>
    <w:p w14:paraId="1CA3A493" w14:textId="7310C18D" w:rsidR="00113A95" w:rsidRDefault="00000000">
      <w:pPr>
        <w:pStyle w:val="Heading2"/>
      </w:pPr>
      <w:r>
        <w:t>COVID-19 Total Cases Distribution</w:t>
      </w:r>
      <w:r w:rsidR="00D03B12">
        <w:t xml:space="preserve"> by European countries</w:t>
      </w:r>
    </w:p>
    <w:p w14:paraId="4CED5446" w14:textId="77777777" w:rsidR="00113A95" w:rsidRDefault="00000000" w:rsidP="00D03B12">
      <w:pPr>
        <w:jc w:val="center"/>
      </w:pPr>
      <w:r>
        <w:rPr>
          <w:noProof/>
        </w:rPr>
        <w:drawing>
          <wp:inline distT="0" distB="0" distL="0" distR="0" wp14:anchorId="0F33B93F" wp14:editId="4E565CA9">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id_pie_chart.png"/>
                    <pic:cNvPicPr/>
                  </pic:nvPicPr>
                  <pic:blipFill>
                    <a:blip r:embed="rId6"/>
                    <a:stretch>
                      <a:fillRect/>
                    </a:stretch>
                  </pic:blipFill>
                  <pic:spPr>
                    <a:xfrm>
                      <a:off x="0" y="0"/>
                      <a:ext cx="5486400" cy="5486400"/>
                    </a:xfrm>
                    <a:prstGeom prst="rect">
                      <a:avLst/>
                    </a:prstGeom>
                  </pic:spPr>
                </pic:pic>
              </a:graphicData>
            </a:graphic>
          </wp:inline>
        </w:drawing>
      </w:r>
    </w:p>
    <w:p w14:paraId="47C6D619" w14:textId="77777777" w:rsidR="00113A95" w:rsidRDefault="00000000" w:rsidP="00D03B12">
      <w:pPr>
        <w:jc w:val="center"/>
      </w:pPr>
      <w:r>
        <w:t>Figure 1: Distribution of COVID-19 Total Cases in Europe.</w:t>
      </w:r>
    </w:p>
    <w:p w14:paraId="3CCE7031" w14:textId="0220E73E" w:rsidR="00D03B12" w:rsidRDefault="00D03B12" w:rsidP="00D03B12">
      <w:pPr>
        <w:jc w:val="center"/>
      </w:pPr>
      <w:r>
        <w:t xml:space="preserve">Source: </w:t>
      </w:r>
      <w:hyperlink r:id="rId7" w:history="1">
        <w:r w:rsidRPr="00140CF3">
          <w:rPr>
            <w:rStyle w:val="Hyperlink"/>
          </w:rPr>
          <w:t>https://www.worldometers.info/coronavirus/#countries</w:t>
        </w:r>
      </w:hyperlink>
    </w:p>
    <w:p w14:paraId="2223639F" w14:textId="4986028F" w:rsidR="006E7DCB" w:rsidRPr="006E7DCB" w:rsidRDefault="006E7DCB" w:rsidP="006E7DCB">
      <w:pPr>
        <w:jc w:val="both"/>
      </w:pPr>
      <w:hyperlink r:id="rId8" w:tgtFrame="_blank" w:history="1">
        <w:r w:rsidRPr="006E7DCB">
          <w:rPr>
            <w:rStyle w:val="Hyperlink"/>
            <w:color w:val="auto"/>
            <w:u w:val="none"/>
          </w:rPr>
          <w:t>A pie chart is suitable for showing the percentage of total cases in each country in Europe, as it allows a quick comparison of the relative size of each slice </w:t>
        </w:r>
      </w:hyperlink>
    </w:p>
    <w:p w14:paraId="3D3FC9DD" w14:textId="77777777" w:rsidR="006E7DCB" w:rsidRDefault="006E7DCB" w:rsidP="006E7DCB"/>
    <w:p w14:paraId="50ECE483" w14:textId="46441E81" w:rsidR="006E7DCB" w:rsidRPr="006E7DCB" w:rsidRDefault="006E7DCB" w:rsidP="006E7DCB">
      <w:pPr>
        <w:pStyle w:val="NormalWeb"/>
        <w:rPr>
          <w:rFonts w:asciiTheme="majorHAnsi" w:hAnsiTheme="majorHAnsi" w:cstheme="majorHAnsi"/>
          <w:color w:val="000000"/>
          <w:sz w:val="22"/>
          <w:szCs w:val="22"/>
        </w:rPr>
      </w:pPr>
      <w:r w:rsidRPr="006E7DCB">
        <w:rPr>
          <w:rFonts w:asciiTheme="majorHAnsi" w:hAnsiTheme="majorHAnsi" w:cstheme="majorHAnsi"/>
          <w:color w:val="000000"/>
          <w:sz w:val="22"/>
          <w:szCs w:val="22"/>
        </w:rPr>
        <w:lastRenderedPageBreak/>
        <w:t xml:space="preserve">The pie chart shows the </w:t>
      </w:r>
      <w:r w:rsidRPr="006E7DCB">
        <w:rPr>
          <w:rStyle w:val="Strong"/>
          <w:rFonts w:asciiTheme="majorHAnsi" w:hAnsiTheme="majorHAnsi" w:cstheme="majorHAnsi"/>
          <w:color w:val="000000"/>
          <w:sz w:val="22"/>
          <w:szCs w:val="22"/>
        </w:rPr>
        <w:t>proportion of COVID-19 cases</w:t>
      </w:r>
      <w:r w:rsidRPr="006E7DCB">
        <w:rPr>
          <w:rFonts w:asciiTheme="majorHAnsi" w:hAnsiTheme="majorHAnsi" w:cstheme="majorHAnsi"/>
          <w:color w:val="000000"/>
          <w:sz w:val="22"/>
          <w:szCs w:val="22"/>
        </w:rPr>
        <w:t xml:space="preserve"> in seven European countries</w:t>
      </w:r>
      <w:r w:rsidR="00446262">
        <w:rPr>
          <w:rFonts w:asciiTheme="majorHAnsi" w:hAnsiTheme="majorHAnsi" w:cstheme="majorHAnsi"/>
          <w:color w:val="000000"/>
          <w:sz w:val="22"/>
          <w:szCs w:val="22"/>
        </w:rPr>
        <w:t xml:space="preserve"> as of today updated by worldometers</w:t>
      </w:r>
      <w:r w:rsidRPr="006E7DCB">
        <w:rPr>
          <w:rFonts w:asciiTheme="majorHAnsi" w:hAnsiTheme="majorHAnsi" w:cstheme="majorHAnsi"/>
          <w:color w:val="000000"/>
          <w:sz w:val="22"/>
          <w:szCs w:val="22"/>
        </w:rPr>
        <w:t xml:space="preserve">. </w:t>
      </w:r>
    </w:p>
    <w:p w14:paraId="2B074F48" w14:textId="77777777" w:rsidR="006E7DCB" w:rsidRPr="006E7DCB" w:rsidRDefault="006E7DCB" w:rsidP="006E7DCB">
      <w:pPr>
        <w:pStyle w:val="NormalWeb"/>
        <w:rPr>
          <w:rFonts w:asciiTheme="majorHAnsi" w:hAnsiTheme="majorHAnsi" w:cstheme="majorHAnsi"/>
          <w:color w:val="000000"/>
          <w:sz w:val="22"/>
          <w:szCs w:val="22"/>
        </w:rPr>
      </w:pPr>
      <w:r w:rsidRPr="006E7DCB">
        <w:rPr>
          <w:rFonts w:asciiTheme="majorHAnsi" w:hAnsiTheme="majorHAnsi" w:cstheme="majorHAnsi"/>
          <w:color w:val="000000"/>
          <w:sz w:val="22"/>
          <w:szCs w:val="22"/>
        </w:rPr>
        <w:t>The summary of the pie chart is as follows:</w:t>
      </w:r>
    </w:p>
    <w:p w14:paraId="527940E4" w14:textId="7C2690F8" w:rsidR="006E7DCB" w:rsidRPr="006E7DCB" w:rsidRDefault="00446262" w:rsidP="006E7DCB">
      <w:pPr>
        <w:numPr>
          <w:ilvl w:val="0"/>
          <w:numId w:val="10"/>
        </w:numPr>
        <w:spacing w:before="100" w:beforeAutospacing="1" w:after="100" w:afterAutospacing="1" w:line="240" w:lineRule="auto"/>
        <w:rPr>
          <w:rFonts w:asciiTheme="majorHAnsi" w:hAnsiTheme="majorHAnsi" w:cstheme="majorHAnsi"/>
          <w:color w:val="000000"/>
        </w:rPr>
      </w:pPr>
      <w:r>
        <w:rPr>
          <w:rStyle w:val="Strong"/>
          <w:rFonts w:asciiTheme="majorHAnsi" w:hAnsiTheme="majorHAnsi" w:cstheme="majorHAnsi"/>
          <w:color w:val="000000"/>
        </w:rPr>
        <w:t>France</w:t>
      </w:r>
      <w:r w:rsidR="006E7DCB" w:rsidRPr="006E7DCB">
        <w:rPr>
          <w:rFonts w:asciiTheme="majorHAnsi" w:hAnsiTheme="majorHAnsi" w:cstheme="majorHAnsi"/>
          <w:color w:val="000000"/>
        </w:rPr>
        <w:t xml:space="preserve"> has the </w:t>
      </w:r>
      <w:r w:rsidR="006E7DCB" w:rsidRPr="006E7DCB">
        <w:rPr>
          <w:rStyle w:val="Strong"/>
          <w:rFonts w:asciiTheme="majorHAnsi" w:hAnsiTheme="majorHAnsi" w:cstheme="majorHAnsi"/>
          <w:color w:val="000000"/>
        </w:rPr>
        <w:t>highest percentage</w:t>
      </w:r>
      <w:r w:rsidR="006E7DCB" w:rsidRPr="006E7DCB">
        <w:rPr>
          <w:rFonts w:asciiTheme="majorHAnsi" w:hAnsiTheme="majorHAnsi" w:cstheme="majorHAnsi"/>
          <w:color w:val="000000"/>
        </w:rPr>
        <w:t xml:space="preserve"> of cases at </w:t>
      </w:r>
      <w:r w:rsidR="006E7DCB" w:rsidRPr="006E7DCB">
        <w:rPr>
          <w:rStyle w:val="Strong"/>
          <w:rFonts w:asciiTheme="majorHAnsi" w:hAnsiTheme="majorHAnsi" w:cstheme="majorHAnsi"/>
          <w:color w:val="000000"/>
        </w:rPr>
        <w:t>22.</w:t>
      </w:r>
      <w:r>
        <w:rPr>
          <w:rStyle w:val="Strong"/>
          <w:rFonts w:asciiTheme="majorHAnsi" w:hAnsiTheme="majorHAnsi" w:cstheme="majorHAnsi"/>
          <w:color w:val="000000"/>
        </w:rPr>
        <w:t>9</w:t>
      </w:r>
      <w:r w:rsidR="006E7DCB" w:rsidRPr="006E7DCB">
        <w:rPr>
          <w:rStyle w:val="Strong"/>
          <w:rFonts w:asciiTheme="majorHAnsi" w:hAnsiTheme="majorHAnsi" w:cstheme="majorHAnsi"/>
          <w:color w:val="000000"/>
        </w:rPr>
        <w:t>%</w:t>
      </w:r>
      <w:r w:rsidR="006E7DCB" w:rsidRPr="006E7DCB">
        <w:rPr>
          <w:rFonts w:asciiTheme="majorHAnsi" w:hAnsiTheme="majorHAnsi" w:cstheme="majorHAnsi"/>
          <w:color w:val="000000"/>
        </w:rPr>
        <w:t xml:space="preserve">, followed by </w:t>
      </w:r>
      <w:r>
        <w:rPr>
          <w:rStyle w:val="Strong"/>
          <w:rFonts w:asciiTheme="majorHAnsi" w:hAnsiTheme="majorHAnsi" w:cstheme="majorHAnsi"/>
          <w:color w:val="000000"/>
        </w:rPr>
        <w:t>Germany</w:t>
      </w:r>
      <w:r w:rsidR="006E7DCB" w:rsidRPr="006E7DCB">
        <w:rPr>
          <w:rFonts w:asciiTheme="majorHAnsi" w:hAnsiTheme="majorHAnsi" w:cstheme="majorHAnsi"/>
          <w:color w:val="000000"/>
        </w:rPr>
        <w:t xml:space="preserve"> at </w:t>
      </w:r>
      <w:r w:rsidR="006E7DCB" w:rsidRPr="006E7DCB">
        <w:rPr>
          <w:rStyle w:val="Strong"/>
          <w:rFonts w:asciiTheme="majorHAnsi" w:hAnsiTheme="majorHAnsi" w:cstheme="majorHAnsi"/>
          <w:color w:val="000000"/>
        </w:rPr>
        <w:t>2</w:t>
      </w:r>
      <w:r>
        <w:rPr>
          <w:rStyle w:val="Strong"/>
          <w:rFonts w:asciiTheme="majorHAnsi" w:hAnsiTheme="majorHAnsi" w:cstheme="majorHAnsi"/>
          <w:color w:val="000000"/>
        </w:rPr>
        <w:t>2</w:t>
      </w:r>
      <w:r w:rsidR="006E7DCB" w:rsidRPr="006E7DCB">
        <w:rPr>
          <w:rStyle w:val="Strong"/>
          <w:rFonts w:asciiTheme="majorHAnsi" w:hAnsiTheme="majorHAnsi" w:cstheme="majorHAnsi"/>
          <w:color w:val="000000"/>
        </w:rPr>
        <w:t>%</w:t>
      </w:r>
      <w:r w:rsidR="006E7DCB" w:rsidRPr="006E7DCB">
        <w:rPr>
          <w:rFonts w:asciiTheme="majorHAnsi" w:hAnsiTheme="majorHAnsi" w:cstheme="majorHAnsi"/>
          <w:color w:val="000000"/>
        </w:rPr>
        <w:t xml:space="preserve"> and </w:t>
      </w:r>
      <w:r>
        <w:rPr>
          <w:rStyle w:val="Strong"/>
          <w:rFonts w:asciiTheme="majorHAnsi" w:hAnsiTheme="majorHAnsi" w:cstheme="majorHAnsi"/>
          <w:color w:val="000000"/>
        </w:rPr>
        <w:t>Italy</w:t>
      </w:r>
      <w:r w:rsidR="006E7DCB" w:rsidRPr="006E7DCB">
        <w:rPr>
          <w:rFonts w:asciiTheme="majorHAnsi" w:hAnsiTheme="majorHAnsi" w:cstheme="majorHAnsi"/>
          <w:color w:val="000000"/>
        </w:rPr>
        <w:t xml:space="preserve"> at </w:t>
      </w:r>
      <w:r>
        <w:rPr>
          <w:rStyle w:val="Strong"/>
          <w:rFonts w:asciiTheme="majorHAnsi" w:hAnsiTheme="majorHAnsi" w:cstheme="majorHAnsi"/>
          <w:color w:val="000000"/>
        </w:rPr>
        <w:t>15</w:t>
      </w:r>
      <w:r w:rsidR="006E7DCB" w:rsidRPr="006E7DCB">
        <w:rPr>
          <w:rStyle w:val="Strong"/>
          <w:rFonts w:asciiTheme="majorHAnsi" w:hAnsiTheme="majorHAnsi" w:cstheme="majorHAnsi"/>
          <w:color w:val="000000"/>
        </w:rPr>
        <w:t>%</w:t>
      </w:r>
      <w:r w:rsidR="006E7DCB" w:rsidRPr="006E7DCB">
        <w:rPr>
          <w:rFonts w:asciiTheme="majorHAnsi" w:hAnsiTheme="majorHAnsi" w:cstheme="majorHAnsi"/>
          <w:color w:val="000000"/>
        </w:rPr>
        <w:t xml:space="preserve">. These three countries account for more than </w:t>
      </w:r>
      <w:r w:rsidR="006E7DCB" w:rsidRPr="006E7DCB">
        <w:rPr>
          <w:rStyle w:val="Strong"/>
          <w:rFonts w:asciiTheme="majorHAnsi" w:hAnsiTheme="majorHAnsi" w:cstheme="majorHAnsi"/>
          <w:color w:val="000000"/>
        </w:rPr>
        <w:t>60%</w:t>
      </w:r>
      <w:r w:rsidR="006E7DCB" w:rsidRPr="006E7DCB">
        <w:rPr>
          <w:rFonts w:asciiTheme="majorHAnsi" w:hAnsiTheme="majorHAnsi" w:cstheme="majorHAnsi"/>
          <w:color w:val="000000"/>
        </w:rPr>
        <w:t xml:space="preserve"> of the total cases in Europe.</w:t>
      </w:r>
    </w:p>
    <w:p w14:paraId="10BB4C77" w14:textId="49B7ABFD" w:rsidR="006E7DCB" w:rsidRPr="006E7DCB" w:rsidRDefault="00446262" w:rsidP="006E7DCB">
      <w:pPr>
        <w:numPr>
          <w:ilvl w:val="0"/>
          <w:numId w:val="10"/>
        </w:numPr>
        <w:spacing w:before="100" w:beforeAutospacing="1" w:after="100" w:afterAutospacing="1" w:line="240" w:lineRule="auto"/>
        <w:rPr>
          <w:rFonts w:asciiTheme="majorHAnsi" w:hAnsiTheme="majorHAnsi" w:cstheme="majorHAnsi"/>
          <w:color w:val="000000"/>
        </w:rPr>
      </w:pPr>
      <w:proofErr w:type="spellStart"/>
      <w:r>
        <w:rPr>
          <w:rStyle w:val="Strong"/>
          <w:rFonts w:asciiTheme="majorHAnsi" w:hAnsiTheme="majorHAnsi" w:cstheme="majorHAnsi"/>
          <w:color w:val="000000"/>
        </w:rPr>
        <w:t>Uk</w:t>
      </w:r>
      <w:proofErr w:type="spellEnd"/>
      <w:r w:rsidR="006E7DCB" w:rsidRPr="006E7DCB">
        <w:rPr>
          <w:rFonts w:asciiTheme="majorHAnsi" w:hAnsiTheme="majorHAnsi" w:cstheme="majorHAnsi"/>
          <w:color w:val="000000"/>
        </w:rPr>
        <w:t xml:space="preserve"> and </w:t>
      </w:r>
      <w:r>
        <w:rPr>
          <w:rStyle w:val="Strong"/>
          <w:rFonts w:asciiTheme="majorHAnsi" w:hAnsiTheme="majorHAnsi" w:cstheme="majorHAnsi"/>
          <w:color w:val="000000"/>
        </w:rPr>
        <w:t>Russia</w:t>
      </w:r>
      <w:r w:rsidR="006E7DCB" w:rsidRPr="006E7DCB">
        <w:rPr>
          <w:rFonts w:asciiTheme="majorHAnsi" w:hAnsiTheme="majorHAnsi" w:cstheme="majorHAnsi"/>
          <w:color w:val="000000"/>
        </w:rPr>
        <w:t xml:space="preserve"> have similar percentages of cases at </w:t>
      </w:r>
      <w:r>
        <w:rPr>
          <w:rStyle w:val="Strong"/>
          <w:rFonts w:asciiTheme="majorHAnsi" w:hAnsiTheme="majorHAnsi" w:cstheme="majorHAnsi"/>
          <w:color w:val="000000"/>
        </w:rPr>
        <w:t>14</w:t>
      </w:r>
      <w:r w:rsidR="006E7DCB" w:rsidRPr="006E7DCB">
        <w:rPr>
          <w:rStyle w:val="Strong"/>
          <w:rFonts w:asciiTheme="majorHAnsi" w:hAnsiTheme="majorHAnsi" w:cstheme="majorHAnsi"/>
          <w:color w:val="000000"/>
        </w:rPr>
        <w:t>%</w:t>
      </w:r>
      <w:r w:rsidR="006E7DCB" w:rsidRPr="006E7DCB">
        <w:rPr>
          <w:rFonts w:asciiTheme="majorHAnsi" w:hAnsiTheme="majorHAnsi" w:cstheme="majorHAnsi"/>
          <w:color w:val="000000"/>
        </w:rPr>
        <w:t xml:space="preserve"> and </w:t>
      </w:r>
      <w:r w:rsidR="006E7DCB" w:rsidRPr="006E7DCB">
        <w:rPr>
          <w:rStyle w:val="Strong"/>
          <w:rFonts w:asciiTheme="majorHAnsi" w:hAnsiTheme="majorHAnsi" w:cstheme="majorHAnsi"/>
          <w:color w:val="000000"/>
        </w:rPr>
        <w:t>1</w:t>
      </w:r>
      <w:r>
        <w:rPr>
          <w:rStyle w:val="Strong"/>
          <w:rFonts w:asciiTheme="majorHAnsi" w:hAnsiTheme="majorHAnsi" w:cstheme="majorHAnsi"/>
          <w:color w:val="000000"/>
        </w:rPr>
        <w:t>3.2</w:t>
      </w:r>
      <w:r w:rsidR="006E7DCB" w:rsidRPr="006E7DCB">
        <w:rPr>
          <w:rStyle w:val="Strong"/>
          <w:rFonts w:asciiTheme="majorHAnsi" w:hAnsiTheme="majorHAnsi" w:cstheme="majorHAnsi"/>
          <w:color w:val="000000"/>
        </w:rPr>
        <w:t>%</w:t>
      </w:r>
      <w:r w:rsidR="006E7DCB" w:rsidRPr="006E7DCB">
        <w:rPr>
          <w:rFonts w:asciiTheme="majorHAnsi" w:hAnsiTheme="majorHAnsi" w:cstheme="majorHAnsi"/>
          <w:color w:val="000000"/>
        </w:rPr>
        <w:t xml:space="preserve"> respectively, while </w:t>
      </w:r>
      <w:r w:rsidR="006E7DCB" w:rsidRPr="006E7DCB">
        <w:rPr>
          <w:rStyle w:val="Strong"/>
          <w:rFonts w:asciiTheme="majorHAnsi" w:hAnsiTheme="majorHAnsi" w:cstheme="majorHAnsi"/>
          <w:color w:val="000000"/>
        </w:rPr>
        <w:t>Spain</w:t>
      </w:r>
      <w:r w:rsidR="006E7DCB" w:rsidRPr="006E7DCB">
        <w:rPr>
          <w:rFonts w:asciiTheme="majorHAnsi" w:hAnsiTheme="majorHAnsi" w:cstheme="majorHAnsi"/>
          <w:color w:val="000000"/>
        </w:rPr>
        <w:t xml:space="preserve"> has a slightly lower percentage at </w:t>
      </w:r>
      <w:r w:rsidR="006E7DCB" w:rsidRPr="006E7DCB">
        <w:rPr>
          <w:rStyle w:val="Strong"/>
          <w:rFonts w:asciiTheme="majorHAnsi" w:hAnsiTheme="majorHAnsi" w:cstheme="majorHAnsi"/>
          <w:color w:val="000000"/>
        </w:rPr>
        <w:t>7.</w:t>
      </w:r>
      <w:r>
        <w:rPr>
          <w:rStyle w:val="Strong"/>
          <w:rFonts w:asciiTheme="majorHAnsi" w:hAnsiTheme="majorHAnsi" w:cstheme="majorHAnsi"/>
          <w:color w:val="000000"/>
        </w:rPr>
        <w:t>9</w:t>
      </w:r>
      <w:r w:rsidR="006E7DCB" w:rsidRPr="006E7DCB">
        <w:rPr>
          <w:rStyle w:val="Strong"/>
          <w:rFonts w:asciiTheme="majorHAnsi" w:hAnsiTheme="majorHAnsi" w:cstheme="majorHAnsi"/>
          <w:color w:val="000000"/>
        </w:rPr>
        <w:t>%</w:t>
      </w:r>
      <w:r w:rsidR="006E7DCB" w:rsidRPr="006E7DCB">
        <w:rPr>
          <w:rFonts w:asciiTheme="majorHAnsi" w:hAnsiTheme="majorHAnsi" w:cstheme="majorHAnsi"/>
          <w:color w:val="000000"/>
        </w:rPr>
        <w:t>.</w:t>
      </w:r>
    </w:p>
    <w:p w14:paraId="7C711857" w14:textId="5DADC1E3" w:rsidR="006E7DCB" w:rsidRPr="006E7DCB" w:rsidRDefault="006E7DCB" w:rsidP="006E7DCB">
      <w:pPr>
        <w:numPr>
          <w:ilvl w:val="0"/>
          <w:numId w:val="10"/>
        </w:numPr>
        <w:spacing w:before="100" w:beforeAutospacing="1" w:after="100" w:afterAutospacing="1" w:line="240" w:lineRule="auto"/>
        <w:rPr>
          <w:rFonts w:asciiTheme="majorHAnsi" w:hAnsiTheme="majorHAnsi" w:cstheme="majorHAnsi"/>
          <w:color w:val="000000"/>
        </w:rPr>
      </w:pPr>
      <w:r w:rsidRPr="006E7DCB">
        <w:rPr>
          <w:rStyle w:val="Strong"/>
          <w:rFonts w:asciiTheme="majorHAnsi" w:hAnsiTheme="majorHAnsi" w:cstheme="majorHAnsi"/>
          <w:color w:val="000000"/>
        </w:rPr>
        <w:t>Netherlands</w:t>
      </w:r>
      <w:r w:rsidRPr="006E7DCB">
        <w:rPr>
          <w:rFonts w:asciiTheme="majorHAnsi" w:hAnsiTheme="majorHAnsi" w:cstheme="majorHAnsi"/>
          <w:color w:val="000000"/>
        </w:rPr>
        <w:t xml:space="preserve"> has the </w:t>
      </w:r>
      <w:r w:rsidRPr="006E7DCB">
        <w:rPr>
          <w:rStyle w:val="Strong"/>
          <w:rFonts w:asciiTheme="majorHAnsi" w:hAnsiTheme="majorHAnsi" w:cstheme="majorHAnsi"/>
          <w:color w:val="000000"/>
        </w:rPr>
        <w:t>lowest percentage</w:t>
      </w:r>
      <w:r w:rsidRPr="006E7DCB">
        <w:rPr>
          <w:rFonts w:asciiTheme="majorHAnsi" w:hAnsiTheme="majorHAnsi" w:cstheme="majorHAnsi"/>
          <w:color w:val="000000"/>
        </w:rPr>
        <w:t xml:space="preserve"> of cases at </w:t>
      </w:r>
      <w:r w:rsidRPr="006E7DCB">
        <w:rPr>
          <w:rStyle w:val="Strong"/>
          <w:rFonts w:asciiTheme="majorHAnsi" w:hAnsiTheme="majorHAnsi" w:cstheme="majorHAnsi"/>
          <w:color w:val="000000"/>
        </w:rPr>
        <w:t>4.9%</w:t>
      </w:r>
      <w:r w:rsidRPr="006E7DCB">
        <w:rPr>
          <w:rFonts w:asciiTheme="majorHAnsi" w:hAnsiTheme="majorHAnsi" w:cstheme="majorHAnsi"/>
          <w:color w:val="000000"/>
        </w:rPr>
        <w:t xml:space="preserve">, which is less than a quarter of </w:t>
      </w:r>
      <w:r w:rsidR="00446262">
        <w:rPr>
          <w:rFonts w:asciiTheme="majorHAnsi" w:hAnsiTheme="majorHAnsi" w:cstheme="majorHAnsi"/>
          <w:color w:val="000000"/>
        </w:rPr>
        <w:t>France</w:t>
      </w:r>
      <w:r w:rsidRPr="006E7DCB">
        <w:rPr>
          <w:rFonts w:asciiTheme="majorHAnsi" w:hAnsiTheme="majorHAnsi" w:cstheme="majorHAnsi"/>
          <w:color w:val="000000"/>
        </w:rPr>
        <w:t xml:space="preserve"> percentage.</w:t>
      </w:r>
    </w:p>
    <w:p w14:paraId="19BFBAC4" w14:textId="230D5DE1" w:rsidR="006E7DCB" w:rsidRPr="006E7DCB" w:rsidRDefault="006E7DCB" w:rsidP="006E7DCB">
      <w:pPr>
        <w:pStyle w:val="NormalWeb"/>
        <w:rPr>
          <w:rFonts w:asciiTheme="majorHAnsi" w:hAnsiTheme="majorHAnsi" w:cstheme="majorHAnsi"/>
          <w:color w:val="000000"/>
          <w:sz w:val="22"/>
          <w:szCs w:val="22"/>
        </w:rPr>
      </w:pPr>
      <w:r w:rsidRPr="006E7DCB">
        <w:rPr>
          <w:rFonts w:asciiTheme="majorHAnsi" w:hAnsiTheme="majorHAnsi" w:cstheme="majorHAnsi"/>
          <w:color w:val="000000"/>
          <w:sz w:val="22"/>
          <w:szCs w:val="22"/>
        </w:rPr>
        <w:t xml:space="preserve">The pie chart can be used to compare the relative impact of the pandemic on different European countries. </w:t>
      </w:r>
    </w:p>
    <w:p w14:paraId="687C3A7E" w14:textId="77777777" w:rsidR="006E7DCB" w:rsidRDefault="006E7DCB" w:rsidP="006E7DCB"/>
    <w:p w14:paraId="321060AA" w14:textId="77777777" w:rsidR="00113A95" w:rsidRDefault="00000000">
      <w:pPr>
        <w:pStyle w:val="Heading2"/>
      </w:pPr>
      <w:r>
        <w:t>Prices of Oil Companies</w:t>
      </w:r>
    </w:p>
    <w:p w14:paraId="39591C98" w14:textId="77777777" w:rsidR="00113A95" w:rsidRDefault="00000000">
      <w:r>
        <w:rPr>
          <w:noProof/>
        </w:rPr>
        <w:drawing>
          <wp:inline distT="0" distB="0" distL="0" distR="0" wp14:anchorId="622D90C4" wp14:editId="09179316">
            <wp:extent cx="5486400" cy="3291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d_stock_prices_line_chart.png"/>
                    <pic:cNvPicPr/>
                  </pic:nvPicPr>
                  <pic:blipFill>
                    <a:blip r:embed="rId9"/>
                    <a:stretch>
                      <a:fillRect/>
                    </a:stretch>
                  </pic:blipFill>
                  <pic:spPr>
                    <a:xfrm>
                      <a:off x="0" y="0"/>
                      <a:ext cx="5486400" cy="3291840"/>
                    </a:xfrm>
                    <a:prstGeom prst="rect">
                      <a:avLst/>
                    </a:prstGeom>
                  </pic:spPr>
                </pic:pic>
              </a:graphicData>
            </a:graphic>
          </wp:inline>
        </w:drawing>
      </w:r>
    </w:p>
    <w:p w14:paraId="2AAACDF5" w14:textId="2758D115" w:rsidR="00113A95" w:rsidRDefault="00000000" w:rsidP="00FB28A0">
      <w:pPr>
        <w:jc w:val="center"/>
      </w:pPr>
      <w:r>
        <w:t>Figure</w:t>
      </w:r>
      <w:r w:rsidR="00FB28A0">
        <w:t>-2</w:t>
      </w:r>
      <w:r>
        <w:t>: Merged Close Prices of Oil Companies.</w:t>
      </w:r>
    </w:p>
    <w:p w14:paraId="3416DD2F" w14:textId="02B0CA53" w:rsidR="00FB28A0" w:rsidRDefault="00FB28A0" w:rsidP="00FB28A0">
      <w:pPr>
        <w:jc w:val="center"/>
      </w:pPr>
      <w:r>
        <w:t xml:space="preserve">Source: </w:t>
      </w:r>
      <w:hyperlink r:id="rId10" w:history="1">
        <w:r w:rsidRPr="00FB28A0">
          <w:rPr>
            <w:rStyle w:val="Hyperlink"/>
          </w:rPr>
          <w:t>https://finance.yahoo.com/quote/TSLA/history?p=TSLA</w:t>
        </w:r>
      </w:hyperlink>
    </w:p>
    <w:p w14:paraId="285D286E" w14:textId="5F2F313D" w:rsidR="00FB28A0" w:rsidRDefault="00FB28A0" w:rsidP="007D5E69">
      <w:pPr>
        <w:spacing w:before="100" w:beforeAutospacing="1" w:after="100" w:afterAutospacing="1" w:line="240" w:lineRule="auto"/>
        <w:rPr>
          <w:rFonts w:asciiTheme="majorHAnsi" w:hAnsiTheme="majorHAnsi" w:cstheme="majorHAnsi"/>
          <w:color w:val="000000"/>
        </w:rPr>
      </w:pPr>
      <w:r w:rsidRPr="007D5E69">
        <w:rPr>
          <w:rFonts w:asciiTheme="majorHAnsi" w:hAnsiTheme="majorHAnsi" w:cstheme="majorHAnsi"/>
          <w:color w:val="000000"/>
        </w:rPr>
        <w:t xml:space="preserve">A line plot </w:t>
      </w:r>
      <w:r w:rsidR="007D5E69">
        <w:rPr>
          <w:rFonts w:asciiTheme="majorHAnsi" w:hAnsiTheme="majorHAnsi" w:cstheme="majorHAnsi"/>
          <w:color w:val="000000"/>
        </w:rPr>
        <w:t xml:space="preserve">is good way </w:t>
      </w:r>
      <w:r w:rsidRPr="007D5E69">
        <w:rPr>
          <w:rFonts w:asciiTheme="majorHAnsi" w:hAnsiTheme="majorHAnsi" w:cstheme="majorHAnsi"/>
          <w:color w:val="000000"/>
        </w:rPr>
        <w:t>t</w:t>
      </w:r>
      <w:r w:rsidR="007D5E69">
        <w:rPr>
          <w:rFonts w:asciiTheme="majorHAnsi" w:hAnsiTheme="majorHAnsi" w:cstheme="majorHAnsi"/>
          <w:color w:val="000000"/>
        </w:rPr>
        <w:t>o show</w:t>
      </w:r>
      <w:r w:rsidRPr="007D5E69">
        <w:rPr>
          <w:rFonts w:asciiTheme="majorHAnsi" w:hAnsiTheme="majorHAnsi" w:cstheme="majorHAnsi"/>
          <w:color w:val="000000"/>
        </w:rPr>
        <w:t xml:space="preserve"> continuous change of the stock prices over time, which is important for understanding the market fluctuations and the impact of the war on the oil industry.</w:t>
      </w:r>
    </w:p>
    <w:p w14:paraId="31E917C2" w14:textId="017609A8" w:rsidR="009E3946" w:rsidRPr="009E3946" w:rsidRDefault="009E3946" w:rsidP="009E3946">
      <w:pPr>
        <w:pStyle w:val="NormalWeb"/>
        <w:jc w:val="both"/>
        <w:rPr>
          <w:rFonts w:asciiTheme="majorHAnsi" w:hAnsiTheme="majorHAnsi" w:cstheme="majorHAnsi"/>
          <w:color w:val="000000"/>
          <w:sz w:val="22"/>
          <w:szCs w:val="22"/>
        </w:rPr>
      </w:pPr>
      <w:r w:rsidRPr="009E3946">
        <w:rPr>
          <w:rFonts w:asciiTheme="majorHAnsi" w:hAnsiTheme="majorHAnsi" w:cstheme="majorHAnsi"/>
          <w:color w:val="000000"/>
          <w:sz w:val="22"/>
          <w:szCs w:val="22"/>
        </w:rPr>
        <w:lastRenderedPageBreak/>
        <w:t>The</w:t>
      </w:r>
      <w:r>
        <w:rPr>
          <w:rFonts w:asciiTheme="majorHAnsi" w:hAnsiTheme="majorHAnsi" w:cstheme="majorHAnsi"/>
          <w:color w:val="000000"/>
          <w:sz w:val="22"/>
          <w:szCs w:val="22"/>
        </w:rPr>
        <w:t xml:space="preserve"> </w:t>
      </w:r>
      <w:r w:rsidRPr="009E3946">
        <w:rPr>
          <w:rFonts w:asciiTheme="majorHAnsi" w:hAnsiTheme="majorHAnsi" w:cstheme="majorHAnsi"/>
          <w:color w:val="000000"/>
          <w:sz w:val="22"/>
          <w:szCs w:val="22"/>
        </w:rPr>
        <w:t>line grap</w:t>
      </w:r>
      <w:r>
        <w:rPr>
          <w:rFonts w:asciiTheme="majorHAnsi" w:hAnsiTheme="majorHAnsi" w:cstheme="majorHAnsi"/>
          <w:color w:val="000000"/>
          <w:sz w:val="22"/>
          <w:szCs w:val="22"/>
        </w:rPr>
        <w:t>h</w:t>
      </w:r>
      <w:r w:rsidRPr="009E3946">
        <w:rPr>
          <w:rFonts w:asciiTheme="majorHAnsi" w:hAnsiTheme="majorHAnsi" w:cstheme="majorHAnsi"/>
          <w:color w:val="000000"/>
          <w:sz w:val="22"/>
          <w:szCs w:val="22"/>
        </w:rPr>
        <w:t xml:space="preserve"> illustrates the </w:t>
      </w:r>
      <w:r>
        <w:rPr>
          <w:rFonts w:asciiTheme="majorHAnsi" w:hAnsiTheme="majorHAnsi" w:cstheme="majorHAnsi"/>
          <w:color w:val="000000"/>
          <w:sz w:val="22"/>
          <w:szCs w:val="22"/>
        </w:rPr>
        <w:t xml:space="preserve">unit share </w:t>
      </w:r>
      <w:r w:rsidRPr="009E3946">
        <w:rPr>
          <w:rFonts w:asciiTheme="majorHAnsi" w:hAnsiTheme="majorHAnsi" w:cstheme="majorHAnsi"/>
          <w:color w:val="000000"/>
          <w:sz w:val="22"/>
          <w:szCs w:val="22"/>
        </w:rPr>
        <w:t>prices of three oil companies: Chevron, Shell, and ExxonMobil. The graph covers the period from January 1, 2017 to December 31, 2017. The close price is the final price at which a security is traded on a given trading day.</w:t>
      </w:r>
    </w:p>
    <w:p w14:paraId="56412F1D" w14:textId="77777777" w:rsidR="009E3946" w:rsidRPr="009E3946" w:rsidRDefault="009E3946" w:rsidP="009E3946">
      <w:pPr>
        <w:pStyle w:val="NormalWeb"/>
        <w:jc w:val="both"/>
        <w:rPr>
          <w:rFonts w:asciiTheme="majorHAnsi" w:hAnsiTheme="majorHAnsi" w:cstheme="majorHAnsi"/>
          <w:color w:val="000000"/>
          <w:sz w:val="22"/>
          <w:szCs w:val="22"/>
        </w:rPr>
      </w:pPr>
      <w:r w:rsidRPr="009E3946">
        <w:rPr>
          <w:rFonts w:asciiTheme="majorHAnsi" w:hAnsiTheme="majorHAnsi" w:cstheme="majorHAnsi"/>
          <w:color w:val="000000"/>
          <w:sz w:val="22"/>
          <w:szCs w:val="22"/>
        </w:rPr>
        <w:t>The graph shows that Chevron had the highest close price throughout the year, ranging from about 110 to 180 USD. Shell had the second highest close price, fluctuating between 60 and 120 USD. ExxonMobil had the lowest close price, varying from 60 to 90 USD.</w:t>
      </w:r>
    </w:p>
    <w:p w14:paraId="1DB949DF" w14:textId="77777777" w:rsidR="009E3946" w:rsidRPr="009E3946" w:rsidRDefault="009E3946" w:rsidP="009E3946">
      <w:pPr>
        <w:pStyle w:val="NormalWeb"/>
        <w:jc w:val="both"/>
        <w:rPr>
          <w:rFonts w:asciiTheme="majorHAnsi" w:hAnsiTheme="majorHAnsi" w:cstheme="majorHAnsi"/>
          <w:color w:val="000000"/>
          <w:sz w:val="22"/>
          <w:szCs w:val="22"/>
        </w:rPr>
      </w:pPr>
      <w:r w:rsidRPr="009E3946">
        <w:rPr>
          <w:rFonts w:asciiTheme="majorHAnsi" w:hAnsiTheme="majorHAnsi" w:cstheme="majorHAnsi"/>
          <w:color w:val="000000"/>
          <w:sz w:val="22"/>
          <w:szCs w:val="22"/>
        </w:rPr>
        <w:t>The graph also reveals some patterns and trends among the three companies. For example, all three companies experienced a sharp decline in close price in March, followed by a gradual recovery in April and May. Chevron and Shell reached their peak close prices in July, while ExxonMobil peaked in September. All three companies saw a drop in close price in October, and then a slight increase in November and December.</w:t>
      </w:r>
    </w:p>
    <w:p w14:paraId="6853BDC9" w14:textId="1E66DADC" w:rsidR="009E3946" w:rsidRPr="009E3946" w:rsidRDefault="009E3946" w:rsidP="009E3946">
      <w:pPr>
        <w:pStyle w:val="NormalWeb"/>
        <w:jc w:val="both"/>
        <w:rPr>
          <w:rFonts w:asciiTheme="majorHAnsi" w:hAnsiTheme="majorHAnsi" w:cstheme="majorHAnsi"/>
          <w:color w:val="000000"/>
          <w:sz w:val="22"/>
          <w:szCs w:val="22"/>
        </w:rPr>
      </w:pPr>
      <w:r w:rsidRPr="009E3946">
        <w:rPr>
          <w:rFonts w:asciiTheme="majorHAnsi" w:hAnsiTheme="majorHAnsi" w:cstheme="majorHAnsi"/>
          <w:color w:val="000000"/>
          <w:sz w:val="22"/>
          <w:szCs w:val="22"/>
        </w:rPr>
        <w:t xml:space="preserve">To summarize, the line graph compares the close prices of Chevron, Shell, and ExxonMobil over the course of </w:t>
      </w:r>
      <w:r w:rsidR="00873EE6">
        <w:rPr>
          <w:rFonts w:asciiTheme="majorHAnsi" w:hAnsiTheme="majorHAnsi" w:cstheme="majorHAnsi"/>
          <w:color w:val="000000"/>
          <w:sz w:val="22"/>
          <w:szCs w:val="22"/>
        </w:rPr>
        <w:t>last 2 years</w:t>
      </w:r>
      <w:r w:rsidRPr="009E3946">
        <w:rPr>
          <w:rFonts w:asciiTheme="majorHAnsi" w:hAnsiTheme="majorHAnsi" w:cstheme="majorHAnsi"/>
          <w:color w:val="000000"/>
          <w:sz w:val="22"/>
          <w:szCs w:val="22"/>
        </w:rPr>
        <w:t xml:space="preserve">. It shows that </w:t>
      </w:r>
      <w:r>
        <w:rPr>
          <w:rFonts w:asciiTheme="majorHAnsi" w:hAnsiTheme="majorHAnsi" w:cstheme="majorHAnsi"/>
          <w:color w:val="000000"/>
          <w:sz w:val="22"/>
          <w:szCs w:val="22"/>
        </w:rPr>
        <w:t>Shell</w:t>
      </w:r>
      <w:r w:rsidRPr="009E3946">
        <w:rPr>
          <w:rFonts w:asciiTheme="majorHAnsi" w:hAnsiTheme="majorHAnsi" w:cstheme="majorHAnsi"/>
          <w:color w:val="000000"/>
          <w:sz w:val="22"/>
          <w:szCs w:val="22"/>
        </w:rPr>
        <w:t xml:space="preserve"> had th</w:t>
      </w:r>
      <w:r>
        <w:rPr>
          <w:rFonts w:asciiTheme="majorHAnsi" w:hAnsiTheme="majorHAnsi" w:cstheme="majorHAnsi"/>
          <w:color w:val="000000"/>
          <w:sz w:val="22"/>
          <w:szCs w:val="22"/>
        </w:rPr>
        <w:t>e</w:t>
      </w:r>
      <w:r w:rsidRPr="009E3946">
        <w:rPr>
          <w:rFonts w:asciiTheme="majorHAnsi" w:hAnsiTheme="majorHAnsi" w:cstheme="majorHAnsi"/>
          <w:color w:val="000000"/>
          <w:sz w:val="22"/>
          <w:szCs w:val="22"/>
        </w:rPr>
        <w:t xml:space="preserve"> most stable close price, while </w:t>
      </w:r>
      <w:r>
        <w:rPr>
          <w:rFonts w:asciiTheme="majorHAnsi" w:hAnsiTheme="majorHAnsi" w:cstheme="majorHAnsi"/>
          <w:color w:val="000000"/>
          <w:sz w:val="22"/>
          <w:szCs w:val="22"/>
        </w:rPr>
        <w:t>Chevron</w:t>
      </w:r>
      <w:r w:rsidRPr="009E3946">
        <w:rPr>
          <w:rFonts w:asciiTheme="majorHAnsi" w:hAnsiTheme="majorHAnsi" w:cstheme="majorHAnsi"/>
          <w:color w:val="000000"/>
          <w:sz w:val="22"/>
          <w:szCs w:val="22"/>
        </w:rPr>
        <w:t xml:space="preserve"> and ExxonMobil had </w:t>
      </w:r>
      <w:r>
        <w:rPr>
          <w:rFonts w:asciiTheme="majorHAnsi" w:hAnsiTheme="majorHAnsi" w:cstheme="majorHAnsi"/>
          <w:color w:val="000000"/>
          <w:sz w:val="22"/>
          <w:szCs w:val="22"/>
        </w:rPr>
        <w:t>highest prices</w:t>
      </w:r>
      <w:r w:rsidRPr="009E3946">
        <w:rPr>
          <w:rFonts w:asciiTheme="majorHAnsi" w:hAnsiTheme="majorHAnsi" w:cstheme="majorHAnsi"/>
          <w:color w:val="000000"/>
          <w:sz w:val="22"/>
          <w:szCs w:val="22"/>
        </w:rPr>
        <w:t xml:space="preserve"> </w:t>
      </w:r>
      <w:r>
        <w:rPr>
          <w:rFonts w:asciiTheme="majorHAnsi" w:hAnsiTheme="majorHAnsi" w:cstheme="majorHAnsi"/>
          <w:color w:val="000000"/>
          <w:sz w:val="22"/>
          <w:szCs w:val="22"/>
        </w:rPr>
        <w:t xml:space="preserve">but </w:t>
      </w:r>
      <w:r w:rsidRPr="009E3946">
        <w:rPr>
          <w:rFonts w:asciiTheme="majorHAnsi" w:hAnsiTheme="majorHAnsi" w:cstheme="majorHAnsi"/>
          <w:color w:val="000000"/>
          <w:sz w:val="22"/>
          <w:szCs w:val="22"/>
        </w:rPr>
        <w:t xml:space="preserve">more volatile close prices. </w:t>
      </w:r>
    </w:p>
    <w:p w14:paraId="79726DDD" w14:textId="77777777" w:rsidR="009E3946" w:rsidRDefault="009E3946"/>
    <w:p w14:paraId="75AC0891" w14:textId="2F4654BC" w:rsidR="00113A95" w:rsidRDefault="00000000">
      <w:pPr>
        <w:pStyle w:val="Heading2"/>
      </w:pPr>
      <w:r>
        <w:t>Boundary Runs vs Non-Boundary Runs for Top 10 ODI Players</w:t>
      </w:r>
      <w:r w:rsidR="00FB28A0">
        <w:t xml:space="preserve"> of 20</w:t>
      </w:r>
      <w:r w:rsidR="00FB28A0" w:rsidRPr="00FB28A0">
        <w:rPr>
          <w:vertAlign w:val="superscript"/>
        </w:rPr>
        <w:t>th</w:t>
      </w:r>
      <w:r w:rsidR="00FB28A0">
        <w:t xml:space="preserve"> Century</w:t>
      </w:r>
    </w:p>
    <w:p w14:paraId="63D19756" w14:textId="77777777" w:rsidR="00113A95" w:rsidRDefault="00000000">
      <w:r>
        <w:rPr>
          <w:noProof/>
        </w:rPr>
        <w:drawing>
          <wp:inline distT="0" distB="0" distL="0" distR="0" wp14:anchorId="68726B56" wp14:editId="088CB2DD">
            <wp:extent cx="5486400" cy="3291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dary_runs_vs_non_boundary_runs.png"/>
                    <pic:cNvPicPr/>
                  </pic:nvPicPr>
                  <pic:blipFill>
                    <a:blip r:embed="rId11"/>
                    <a:stretch>
                      <a:fillRect/>
                    </a:stretch>
                  </pic:blipFill>
                  <pic:spPr>
                    <a:xfrm>
                      <a:off x="0" y="0"/>
                      <a:ext cx="5486400" cy="3291840"/>
                    </a:xfrm>
                    <a:prstGeom prst="rect">
                      <a:avLst/>
                    </a:prstGeom>
                  </pic:spPr>
                </pic:pic>
              </a:graphicData>
            </a:graphic>
          </wp:inline>
        </w:drawing>
      </w:r>
    </w:p>
    <w:p w14:paraId="7AA7B766" w14:textId="3182D4A4" w:rsidR="00113A95" w:rsidRDefault="00000000" w:rsidP="003B282C">
      <w:pPr>
        <w:jc w:val="center"/>
      </w:pPr>
      <w:r>
        <w:t>Figure</w:t>
      </w:r>
      <w:r w:rsidR="003B282C">
        <w:t>-3</w:t>
      </w:r>
      <w:r>
        <w:t>: Boundary Runs vs Non-Boundary Runs for Top 10 ODI Players</w:t>
      </w:r>
      <w:r w:rsidR="00FB28A0">
        <w:t xml:space="preserve"> of 20</w:t>
      </w:r>
      <w:r w:rsidR="00FB28A0" w:rsidRPr="00FB28A0">
        <w:rPr>
          <w:vertAlign w:val="superscript"/>
        </w:rPr>
        <w:t>th</w:t>
      </w:r>
      <w:r w:rsidR="00FB28A0">
        <w:t xml:space="preserve"> Century</w:t>
      </w:r>
    </w:p>
    <w:p w14:paraId="063000E0" w14:textId="77777777" w:rsidR="00FF252D" w:rsidRDefault="003B282C" w:rsidP="00FF252D">
      <w:pPr>
        <w:jc w:val="center"/>
      </w:pPr>
      <w:r>
        <w:t xml:space="preserve">Source: </w:t>
      </w:r>
      <w:hyperlink r:id="rId12" w:history="1">
        <w:r w:rsidRPr="003B282C">
          <w:rPr>
            <w:rStyle w:val="Hyperlink"/>
          </w:rPr>
          <w:t>https://data.world/cclayford/cricinfo-statsguru-data</w:t>
        </w:r>
      </w:hyperlink>
    </w:p>
    <w:p w14:paraId="1A6AF6B6" w14:textId="177532F1" w:rsidR="00FF252D" w:rsidRPr="00FF252D" w:rsidRDefault="003B282C" w:rsidP="00436390">
      <w:pPr>
        <w:jc w:val="both"/>
      </w:pPr>
      <w:r>
        <w:rPr>
          <w:rFonts w:ascii="Roboto" w:hAnsi="Roboto"/>
          <w:color w:val="111111"/>
        </w:rPr>
        <w:lastRenderedPageBreak/>
        <w:t>A</w:t>
      </w:r>
      <w:r>
        <w:rPr>
          <w:rFonts w:ascii="Roboto" w:hAnsi="Roboto"/>
          <w:color w:val="111111"/>
        </w:rPr>
        <w:t xml:space="preserve"> stacked bar chart is more suitable for this data is that it allows for the comparison of boundary runs and non-boundary runs for each player, as well as the total runs scored by each pl</w:t>
      </w:r>
      <w:r>
        <w:rPr>
          <w:rFonts w:ascii="Roboto" w:hAnsi="Roboto"/>
          <w:color w:val="111111"/>
        </w:rPr>
        <w:t>ayer.</w:t>
      </w:r>
    </w:p>
    <w:p w14:paraId="1B12942E" w14:textId="6863A6BB" w:rsidR="00FF252D" w:rsidRDefault="00FF252D" w:rsidP="00436390">
      <w:pPr>
        <w:jc w:val="both"/>
      </w:pPr>
      <w:r>
        <w:rPr>
          <w:rFonts w:ascii="Roboto" w:hAnsi="Roboto"/>
          <w:color w:val="111111"/>
        </w:rPr>
        <w:t xml:space="preserve">The chart reveals that </w:t>
      </w:r>
      <w:r w:rsidR="00AE2F8F">
        <w:rPr>
          <w:rFonts w:ascii="Roboto" w:hAnsi="Roboto"/>
          <w:color w:val="111111"/>
        </w:rPr>
        <w:t xml:space="preserve">Sachin Tendulkar </w:t>
      </w:r>
      <w:r>
        <w:rPr>
          <w:rFonts w:ascii="Roboto" w:hAnsi="Roboto"/>
          <w:color w:val="111111"/>
        </w:rPr>
        <w:t>is the highest scorer among the top 10 players</w:t>
      </w:r>
      <w:r w:rsidR="00AE2F8F">
        <w:rPr>
          <w:rFonts w:ascii="Roboto" w:hAnsi="Roboto"/>
          <w:color w:val="111111"/>
        </w:rPr>
        <w:t xml:space="preserve"> of the 20</w:t>
      </w:r>
      <w:r w:rsidR="00AE2F8F" w:rsidRPr="00AE2F8F">
        <w:rPr>
          <w:rFonts w:ascii="Roboto" w:hAnsi="Roboto"/>
          <w:color w:val="111111"/>
          <w:vertAlign w:val="superscript"/>
        </w:rPr>
        <w:t>th</w:t>
      </w:r>
      <w:r w:rsidR="00AE2F8F">
        <w:rPr>
          <w:rFonts w:ascii="Roboto" w:hAnsi="Roboto"/>
          <w:color w:val="111111"/>
        </w:rPr>
        <w:t xml:space="preserve"> century</w:t>
      </w:r>
      <w:r>
        <w:rPr>
          <w:rFonts w:ascii="Roboto" w:hAnsi="Roboto"/>
          <w:color w:val="111111"/>
        </w:rPr>
        <w:t xml:space="preserve">, with a total of </w:t>
      </w:r>
      <w:r w:rsidR="00436390">
        <w:rPr>
          <w:rFonts w:ascii="Roboto" w:hAnsi="Roboto"/>
          <w:color w:val="111111"/>
        </w:rPr>
        <w:t>close to 10,000</w:t>
      </w:r>
      <w:r>
        <w:rPr>
          <w:rFonts w:ascii="Roboto" w:hAnsi="Roboto"/>
          <w:color w:val="111111"/>
        </w:rPr>
        <w:t xml:space="preserve"> runs, of which </w:t>
      </w:r>
      <w:r w:rsidR="00436390">
        <w:rPr>
          <w:rFonts w:ascii="Roboto" w:hAnsi="Roboto"/>
          <w:color w:val="111111"/>
        </w:rPr>
        <w:t>approximately 5000</w:t>
      </w:r>
      <w:r>
        <w:rPr>
          <w:rFonts w:ascii="Roboto" w:hAnsi="Roboto"/>
          <w:color w:val="111111"/>
        </w:rPr>
        <w:t xml:space="preserve"> are boundary runs and </w:t>
      </w:r>
      <w:r w:rsidR="00436390">
        <w:rPr>
          <w:rFonts w:ascii="Roboto" w:hAnsi="Roboto"/>
          <w:color w:val="111111"/>
        </w:rPr>
        <w:t>4500</w:t>
      </w:r>
      <w:r>
        <w:rPr>
          <w:rFonts w:ascii="Roboto" w:hAnsi="Roboto"/>
          <w:color w:val="111111"/>
        </w:rPr>
        <w:t xml:space="preserve"> are non-boundary runs. The chart also shows that </w:t>
      </w:r>
      <w:r w:rsidR="00436390">
        <w:rPr>
          <w:rFonts w:ascii="Roboto" w:hAnsi="Roboto"/>
          <w:color w:val="111111"/>
        </w:rPr>
        <w:t>M Azharuddin</w:t>
      </w:r>
      <w:r>
        <w:rPr>
          <w:rFonts w:ascii="Roboto" w:hAnsi="Roboto"/>
          <w:color w:val="111111"/>
        </w:rPr>
        <w:t xml:space="preserve"> has the highest percentage of boundary runs among the top 10 players, with 6,557 out of his 9,5</w:t>
      </w:r>
      <w:r w:rsidR="00436390">
        <w:rPr>
          <w:rFonts w:ascii="Roboto" w:hAnsi="Roboto"/>
          <w:color w:val="111111"/>
        </w:rPr>
        <w:t>00</w:t>
      </w:r>
      <w:r>
        <w:rPr>
          <w:rFonts w:ascii="Roboto" w:hAnsi="Roboto"/>
          <w:color w:val="111111"/>
        </w:rPr>
        <w:t xml:space="preserve"> runs being boundary runs, which is about 72% of his total runs.</w:t>
      </w:r>
    </w:p>
    <w:p w14:paraId="06CA5459" w14:textId="77777777" w:rsidR="00FF252D" w:rsidRDefault="00FF252D" w:rsidP="003B282C">
      <w:pPr>
        <w:rPr>
          <w:rFonts w:ascii="Roboto" w:hAnsi="Roboto"/>
          <w:color w:val="111111"/>
        </w:rPr>
      </w:pPr>
    </w:p>
    <w:p w14:paraId="5FB6DB7E" w14:textId="60E709AC" w:rsidR="003B282C" w:rsidRDefault="003B282C" w:rsidP="003B282C">
      <w:r>
        <w:t xml:space="preserve"> </w:t>
      </w:r>
    </w:p>
    <w:p w14:paraId="7D8E2496" w14:textId="77777777" w:rsidR="00FB28A0" w:rsidRDefault="00FB28A0"/>
    <w:sectPr w:rsidR="00FB28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1D746C5"/>
    <w:multiLevelType w:val="multilevel"/>
    <w:tmpl w:val="4BEC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C226F"/>
    <w:multiLevelType w:val="multilevel"/>
    <w:tmpl w:val="4FBE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B516F"/>
    <w:multiLevelType w:val="multilevel"/>
    <w:tmpl w:val="CAA8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964086">
    <w:abstractNumId w:val="8"/>
  </w:num>
  <w:num w:numId="2" w16cid:durableId="265430718">
    <w:abstractNumId w:val="6"/>
  </w:num>
  <w:num w:numId="3" w16cid:durableId="2041199067">
    <w:abstractNumId w:val="5"/>
  </w:num>
  <w:num w:numId="4" w16cid:durableId="1332676712">
    <w:abstractNumId w:val="4"/>
  </w:num>
  <w:num w:numId="5" w16cid:durableId="165827411">
    <w:abstractNumId w:val="7"/>
  </w:num>
  <w:num w:numId="6" w16cid:durableId="351806113">
    <w:abstractNumId w:val="3"/>
  </w:num>
  <w:num w:numId="7" w16cid:durableId="960765926">
    <w:abstractNumId w:val="2"/>
  </w:num>
  <w:num w:numId="8" w16cid:durableId="746192968">
    <w:abstractNumId w:val="1"/>
  </w:num>
  <w:num w:numId="9" w16cid:durableId="1366562912">
    <w:abstractNumId w:val="0"/>
  </w:num>
  <w:num w:numId="10" w16cid:durableId="215091142">
    <w:abstractNumId w:val="9"/>
  </w:num>
  <w:num w:numId="11" w16cid:durableId="980115163">
    <w:abstractNumId w:val="10"/>
  </w:num>
  <w:num w:numId="12" w16cid:durableId="4818498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A95"/>
    <w:rsid w:val="0015074B"/>
    <w:rsid w:val="0029639D"/>
    <w:rsid w:val="00326F90"/>
    <w:rsid w:val="003B282C"/>
    <w:rsid w:val="00436390"/>
    <w:rsid w:val="00446262"/>
    <w:rsid w:val="006E7DCB"/>
    <w:rsid w:val="007D5E69"/>
    <w:rsid w:val="00873EE6"/>
    <w:rsid w:val="009E3946"/>
    <w:rsid w:val="00AA1D8D"/>
    <w:rsid w:val="00AE2F8F"/>
    <w:rsid w:val="00B47730"/>
    <w:rsid w:val="00CB0664"/>
    <w:rsid w:val="00D03B12"/>
    <w:rsid w:val="00FB28A0"/>
    <w:rsid w:val="00FC693F"/>
    <w:rsid w:val="00FF25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BF5920"/>
  <w14:defaultImageDpi w14:val="300"/>
  <w15:docId w15:val="{B2A57CB1-BB24-4CC2-9F7B-B9680594C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03B12"/>
    <w:rPr>
      <w:color w:val="0000FF" w:themeColor="hyperlink"/>
      <w:u w:val="single"/>
    </w:rPr>
  </w:style>
  <w:style w:type="character" w:styleId="UnresolvedMention">
    <w:name w:val="Unresolved Mention"/>
    <w:basedOn w:val="DefaultParagraphFont"/>
    <w:uiPriority w:val="99"/>
    <w:semiHidden/>
    <w:unhideWhenUsed/>
    <w:rsid w:val="00D03B12"/>
    <w:rPr>
      <w:color w:val="605E5C"/>
      <w:shd w:val="clear" w:color="auto" w:fill="E1DFDD"/>
    </w:rPr>
  </w:style>
  <w:style w:type="paragraph" w:styleId="NormalWeb">
    <w:name w:val="Normal (Web)"/>
    <w:basedOn w:val="Normal"/>
    <w:uiPriority w:val="99"/>
    <w:semiHidden/>
    <w:unhideWhenUsed/>
    <w:rsid w:val="006E7DC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831430">
      <w:bodyDiv w:val="1"/>
      <w:marLeft w:val="0"/>
      <w:marRight w:val="0"/>
      <w:marTop w:val="0"/>
      <w:marBottom w:val="0"/>
      <w:divBdr>
        <w:top w:val="none" w:sz="0" w:space="0" w:color="auto"/>
        <w:left w:val="none" w:sz="0" w:space="0" w:color="auto"/>
        <w:bottom w:val="none" w:sz="0" w:space="0" w:color="auto"/>
        <w:right w:val="none" w:sz="0" w:space="0" w:color="auto"/>
      </w:divBdr>
      <w:divsChild>
        <w:div w:id="332996217">
          <w:marLeft w:val="0"/>
          <w:marRight w:val="0"/>
          <w:marTop w:val="0"/>
          <w:marBottom w:val="0"/>
          <w:divBdr>
            <w:top w:val="none" w:sz="0" w:space="0" w:color="auto"/>
            <w:left w:val="none" w:sz="0" w:space="0" w:color="auto"/>
            <w:bottom w:val="none" w:sz="0" w:space="0" w:color="auto"/>
            <w:right w:val="none" w:sz="0" w:space="0" w:color="auto"/>
          </w:divBdr>
          <w:divsChild>
            <w:div w:id="218060556">
              <w:marLeft w:val="0"/>
              <w:marRight w:val="0"/>
              <w:marTop w:val="0"/>
              <w:marBottom w:val="0"/>
              <w:divBdr>
                <w:top w:val="none" w:sz="0" w:space="0" w:color="auto"/>
                <w:left w:val="none" w:sz="0" w:space="0" w:color="auto"/>
                <w:bottom w:val="none" w:sz="0" w:space="0" w:color="auto"/>
                <w:right w:val="none" w:sz="0" w:space="0" w:color="auto"/>
              </w:divBdr>
              <w:divsChild>
                <w:div w:id="200743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8586">
      <w:bodyDiv w:val="1"/>
      <w:marLeft w:val="0"/>
      <w:marRight w:val="0"/>
      <w:marTop w:val="0"/>
      <w:marBottom w:val="0"/>
      <w:divBdr>
        <w:top w:val="none" w:sz="0" w:space="0" w:color="auto"/>
        <w:left w:val="none" w:sz="0" w:space="0" w:color="auto"/>
        <w:bottom w:val="none" w:sz="0" w:space="0" w:color="auto"/>
        <w:right w:val="none" w:sz="0" w:space="0" w:color="auto"/>
      </w:divBdr>
      <w:divsChild>
        <w:div w:id="1245870127">
          <w:marLeft w:val="0"/>
          <w:marRight w:val="0"/>
          <w:marTop w:val="0"/>
          <w:marBottom w:val="0"/>
          <w:divBdr>
            <w:top w:val="none" w:sz="0" w:space="0" w:color="auto"/>
            <w:left w:val="none" w:sz="0" w:space="0" w:color="auto"/>
            <w:bottom w:val="none" w:sz="0" w:space="0" w:color="auto"/>
            <w:right w:val="none" w:sz="0" w:space="0" w:color="auto"/>
          </w:divBdr>
          <w:divsChild>
            <w:div w:id="1967544405">
              <w:marLeft w:val="0"/>
              <w:marRight w:val="0"/>
              <w:marTop w:val="0"/>
              <w:marBottom w:val="0"/>
              <w:divBdr>
                <w:top w:val="none" w:sz="0" w:space="0" w:color="auto"/>
                <w:left w:val="none" w:sz="0" w:space="0" w:color="auto"/>
                <w:bottom w:val="none" w:sz="0" w:space="0" w:color="auto"/>
                <w:right w:val="none" w:sz="0" w:space="0" w:color="auto"/>
              </w:divBdr>
              <w:divsChild>
                <w:div w:id="3863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327420">
      <w:bodyDiv w:val="1"/>
      <w:marLeft w:val="0"/>
      <w:marRight w:val="0"/>
      <w:marTop w:val="0"/>
      <w:marBottom w:val="0"/>
      <w:divBdr>
        <w:top w:val="none" w:sz="0" w:space="0" w:color="auto"/>
        <w:left w:val="none" w:sz="0" w:space="0" w:color="auto"/>
        <w:bottom w:val="none" w:sz="0" w:space="0" w:color="auto"/>
        <w:right w:val="none" w:sz="0" w:space="0" w:color="auto"/>
      </w:divBdr>
    </w:div>
    <w:div w:id="2032677952">
      <w:bodyDiv w:val="1"/>
      <w:marLeft w:val="0"/>
      <w:marRight w:val="0"/>
      <w:marTop w:val="0"/>
      <w:marBottom w:val="0"/>
      <w:divBdr>
        <w:top w:val="none" w:sz="0" w:space="0" w:color="auto"/>
        <w:left w:val="none" w:sz="0" w:space="0" w:color="auto"/>
        <w:bottom w:val="none" w:sz="0" w:space="0" w:color="auto"/>
        <w:right w:val="none" w:sz="0" w:space="0" w:color="auto"/>
      </w:divBdr>
      <w:divsChild>
        <w:div w:id="1332902757">
          <w:marLeft w:val="0"/>
          <w:marRight w:val="0"/>
          <w:marTop w:val="0"/>
          <w:marBottom w:val="0"/>
          <w:divBdr>
            <w:top w:val="none" w:sz="0" w:space="0" w:color="auto"/>
            <w:left w:val="none" w:sz="0" w:space="0" w:color="auto"/>
            <w:bottom w:val="none" w:sz="0" w:space="0" w:color="auto"/>
            <w:right w:val="none" w:sz="0" w:space="0" w:color="auto"/>
          </w:divBdr>
          <w:divsChild>
            <w:div w:id="155651078">
              <w:marLeft w:val="0"/>
              <w:marRight w:val="0"/>
              <w:marTop w:val="0"/>
              <w:marBottom w:val="0"/>
              <w:divBdr>
                <w:top w:val="none" w:sz="0" w:space="0" w:color="auto"/>
                <w:left w:val="none" w:sz="0" w:space="0" w:color="auto"/>
                <w:bottom w:val="none" w:sz="0" w:space="0" w:color="auto"/>
                <w:right w:val="none" w:sz="0" w:space="0" w:color="auto"/>
              </w:divBdr>
              <w:divsChild>
                <w:div w:id="19130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tterevaluation.org/methods-approaches/methods/pie-char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orldometers.info/coronavirus/#countries" TargetMode="External"/><Relationship Id="rId12" Type="http://schemas.openxmlformats.org/officeDocument/2006/relationships/hyperlink" Target="https://data.world/cclayford/cricinfo-statsguru-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finance.yahoo.com/quote/TSLA/history?p=TSL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AJAY KUMAR NAMPALLY</cp:lastModifiedBy>
  <cp:revision>6</cp:revision>
  <dcterms:created xsi:type="dcterms:W3CDTF">2013-12-23T23:15:00Z</dcterms:created>
  <dcterms:modified xsi:type="dcterms:W3CDTF">2023-11-08T05:10:00Z</dcterms:modified>
  <cp:category/>
</cp:coreProperties>
</file>