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124" w:rsidRPr="00384124" w:rsidRDefault="00384124" w:rsidP="00384124">
      <w:pPr>
        <w:shd w:val="clear" w:color="auto" w:fill="FFFFFF"/>
        <w:spacing w:after="150" w:line="240" w:lineRule="auto"/>
        <w:outlineLvl w:val="0"/>
        <w:rPr>
          <w:rFonts w:ascii="proxima_nova" w:eastAsia="Times New Roman" w:hAnsi="proxima_nova"/>
          <w:color w:val="2D2D2D"/>
          <w:kern w:val="36"/>
          <w:sz w:val="54"/>
          <w:szCs w:val="54"/>
        </w:rPr>
      </w:pPr>
      <w:r w:rsidRPr="00384124">
        <w:rPr>
          <w:rFonts w:ascii="proxima_nova" w:eastAsia="Times New Roman" w:hAnsi="proxima_nova"/>
          <w:b/>
          <w:bCs/>
          <w:color w:val="2D2D2D"/>
          <w:kern w:val="36"/>
          <w:sz w:val="45"/>
          <w:szCs w:val="45"/>
        </w:rPr>
        <w:t>How to use this manual</w:t>
      </w:r>
    </w:p>
    <w:p w:rsidR="00384124" w:rsidRDefault="00384124" w:rsidP="00384124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hyperlink r:id="rId6" w:history="1">
        <w:r w:rsidRPr="00DD0990">
          <w:rPr>
            <w:rStyle w:val="Hyperlink"/>
            <w:rFonts w:ascii="Helvetica" w:eastAsia="Times New Roman" w:hAnsi="Helvetica" w:cs="Helvetica"/>
            <w:sz w:val="21"/>
            <w:szCs w:val="21"/>
          </w:rPr>
          <w:t>http://docs.splunk.com/Documentation/Splunk/latest/SearchReference/HowToUseThisManual</w:t>
        </w:r>
      </w:hyperlink>
    </w:p>
    <w:p w:rsidR="00384124" w:rsidRPr="00384124" w:rsidRDefault="00384124" w:rsidP="00384124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384124">
        <w:rPr>
          <w:rFonts w:ascii="Helvetica" w:eastAsia="Times New Roman" w:hAnsi="Helvetica" w:cs="Helvetica"/>
          <w:color w:val="474444"/>
          <w:sz w:val="21"/>
          <w:szCs w:val="21"/>
        </w:rPr>
        <w:t>This manual serves as a reference guide for the Splunk user who is looking for a catalog of the search commands with complete syntax, descriptions, and examples for usage.</w:t>
      </w:r>
    </w:p>
    <w:p w:rsidR="00384124" w:rsidRPr="00384124" w:rsidRDefault="00384124" w:rsidP="00384124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384124">
        <w:rPr>
          <w:rFonts w:ascii="proxima_nova" w:eastAsia="Times New Roman" w:hAnsi="proxima_nova"/>
          <w:b/>
          <w:bCs/>
          <w:color w:val="2D2D2D"/>
          <w:sz w:val="45"/>
          <w:szCs w:val="45"/>
        </w:rPr>
        <w:t>Quick Reference Information</w:t>
      </w:r>
    </w:p>
    <w:p w:rsidR="00384124" w:rsidRPr="00384124" w:rsidRDefault="00384124" w:rsidP="00384124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384124">
        <w:rPr>
          <w:rFonts w:ascii="proxima_nova" w:eastAsia="Times New Roman" w:hAnsi="proxima_nova"/>
          <w:b/>
          <w:bCs/>
          <w:color w:val="2D2D2D"/>
          <w:sz w:val="45"/>
          <w:szCs w:val="45"/>
        </w:rPr>
        <w:t>Functions</w:t>
      </w:r>
    </w:p>
    <w:p w:rsidR="00384124" w:rsidRPr="00384124" w:rsidRDefault="00384124" w:rsidP="00384124">
      <w:pPr>
        <w:shd w:val="clear" w:color="auto" w:fill="FFFFFF"/>
        <w:spacing w:before="300" w:after="150" w:line="240" w:lineRule="auto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384124">
        <w:rPr>
          <w:rFonts w:ascii="proxima_nova" w:eastAsia="Times New Roman" w:hAnsi="proxima_nova"/>
          <w:b/>
          <w:bCs/>
          <w:color w:val="2D2D2D"/>
          <w:sz w:val="45"/>
          <w:szCs w:val="45"/>
        </w:rPr>
        <w:t>Command topics</w:t>
      </w:r>
    </w:p>
    <w:p w:rsidR="00384124" w:rsidRPr="00384124" w:rsidRDefault="00384124" w:rsidP="00384124">
      <w:pPr>
        <w:shd w:val="clear" w:color="auto" w:fill="FFFFFF"/>
        <w:spacing w:after="150" w:line="360" w:lineRule="atLeast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384124">
        <w:rPr>
          <w:rFonts w:ascii="Helvetica" w:eastAsia="Times New Roman" w:hAnsi="Helvetica" w:cs="Helvetica"/>
          <w:color w:val="474444"/>
          <w:sz w:val="21"/>
          <w:szCs w:val="21"/>
        </w:rPr>
        <w:t>Each search command topic contains the following sections: Description, Syntax, Examples, and See also. Many of the command topics also have a Usage section.</w:t>
      </w:r>
    </w:p>
    <w:p w:rsidR="00384124" w:rsidRPr="00384124" w:rsidRDefault="00384124" w:rsidP="00384124">
      <w:pPr>
        <w:shd w:val="clear" w:color="auto" w:fill="FFFFFF"/>
        <w:spacing w:after="24" w:line="240" w:lineRule="auto"/>
        <w:rPr>
          <w:rFonts w:ascii="proxima_nova" w:eastAsia="Times New Roman" w:hAnsi="proxima_nova"/>
          <w:b/>
          <w:bCs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b/>
          <w:bCs/>
          <w:color w:val="222222"/>
          <w:sz w:val="21"/>
          <w:szCs w:val="21"/>
        </w:rPr>
        <w:t>Description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color w:val="222222"/>
          <w:sz w:val="21"/>
          <w:szCs w:val="21"/>
        </w:rPr>
        <w:t>Describes what the command is used for. This section might include details about how to use the command. For more complex commands, there might be a separate Usage section.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384"/>
        <w:rPr>
          <w:rFonts w:ascii="proxima_nova" w:eastAsia="Times New Roman" w:hAnsi="proxima_nova"/>
          <w:b/>
          <w:bCs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b/>
          <w:bCs/>
          <w:color w:val="222222"/>
          <w:sz w:val="21"/>
          <w:szCs w:val="21"/>
        </w:rPr>
        <w:t>Syntax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color w:val="222222"/>
          <w:sz w:val="21"/>
          <w:szCs w:val="21"/>
        </w:rPr>
        <w:t>The syntax includes the complete syntax for each search command, and a description for each argument. Some commands have arguments that have a set of options that you can specify. Each of these sets of options follow the argument descriptions.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b/>
          <w:bCs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b/>
          <w:bCs/>
          <w:color w:val="222222"/>
          <w:sz w:val="21"/>
          <w:szCs w:val="21"/>
        </w:rPr>
        <w:t>Required arguments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color w:val="222222"/>
          <w:sz w:val="21"/>
          <w:szCs w:val="21"/>
        </w:rPr>
        <w:t>Displays the syntax and describes the required arguments.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b/>
          <w:bCs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b/>
          <w:bCs/>
          <w:color w:val="222222"/>
          <w:sz w:val="21"/>
          <w:szCs w:val="21"/>
        </w:rPr>
        <w:t>Optional arguments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color w:val="222222"/>
          <w:sz w:val="21"/>
          <w:szCs w:val="21"/>
        </w:rPr>
        <w:t>Displays the syntax and describes the optional arguments. Default values, if applicable, are also listed.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1536"/>
        <w:rPr>
          <w:rFonts w:ascii="proxima_nova" w:eastAsia="Times New Roman" w:hAnsi="proxima_nova"/>
          <w:b/>
          <w:bCs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b/>
          <w:bCs/>
          <w:color w:val="222222"/>
          <w:sz w:val="21"/>
          <w:szCs w:val="21"/>
        </w:rPr>
        <w:t>Usage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color w:val="222222"/>
          <w:sz w:val="21"/>
          <w:szCs w:val="21"/>
        </w:rPr>
        <w:t>Contains additional information about using the command.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1920"/>
        <w:rPr>
          <w:rFonts w:ascii="proxima_nova" w:eastAsia="Times New Roman" w:hAnsi="proxima_nova"/>
          <w:b/>
          <w:bCs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b/>
          <w:bCs/>
          <w:color w:val="222222"/>
          <w:sz w:val="21"/>
          <w:szCs w:val="21"/>
        </w:rPr>
        <w:t>Examples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color w:val="222222"/>
          <w:sz w:val="21"/>
          <w:szCs w:val="21"/>
        </w:rPr>
        <w:t>This section includes examples of how to use the command.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2304"/>
        <w:rPr>
          <w:rFonts w:ascii="proxima_nova" w:eastAsia="Times New Roman" w:hAnsi="proxima_nova"/>
          <w:b/>
          <w:bCs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b/>
          <w:bCs/>
          <w:color w:val="222222"/>
          <w:sz w:val="21"/>
          <w:szCs w:val="21"/>
        </w:rPr>
        <w:t>See also</w:t>
      </w:r>
    </w:p>
    <w:p w:rsidR="00384124" w:rsidRPr="00384124" w:rsidRDefault="00384124" w:rsidP="00384124">
      <w:pPr>
        <w:shd w:val="clear" w:color="auto" w:fill="FFFFFF"/>
        <w:spacing w:after="24" w:line="240" w:lineRule="auto"/>
        <w:ind w:left="720"/>
        <w:rPr>
          <w:rFonts w:ascii="proxima_nova" w:eastAsia="Times New Roman" w:hAnsi="proxima_nova"/>
          <w:color w:val="222222"/>
          <w:sz w:val="21"/>
          <w:szCs w:val="21"/>
        </w:rPr>
      </w:pPr>
      <w:r w:rsidRPr="00384124">
        <w:rPr>
          <w:rFonts w:ascii="proxima_nova" w:eastAsia="Times New Roman" w:hAnsi="proxima_nova"/>
          <w:color w:val="222222"/>
          <w:sz w:val="21"/>
          <w:szCs w:val="21"/>
        </w:rPr>
        <w:t>This section contains links to all related or similar commands.</w:t>
      </w:r>
    </w:p>
    <w:p w:rsidR="00384124" w:rsidRPr="00384124" w:rsidRDefault="00384124" w:rsidP="00384124">
      <w:pPr>
        <w:shd w:val="clear" w:color="auto" w:fill="FFFFFF"/>
        <w:spacing w:before="300" w:after="150" w:line="240" w:lineRule="auto"/>
        <w:ind w:left="2688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384124">
        <w:rPr>
          <w:rFonts w:ascii="proxima_nova" w:eastAsia="Times New Roman" w:hAnsi="proxima_nova"/>
          <w:b/>
          <w:bCs/>
          <w:color w:val="2D2D2D"/>
          <w:sz w:val="45"/>
          <w:szCs w:val="45"/>
        </w:rPr>
        <w:t>Command syntax conventions</w:t>
      </w:r>
    </w:p>
    <w:p w:rsidR="00384124" w:rsidRPr="00384124" w:rsidRDefault="00384124" w:rsidP="00384124">
      <w:pPr>
        <w:shd w:val="clear" w:color="auto" w:fill="FFFFFF"/>
        <w:spacing w:after="150" w:line="360" w:lineRule="atLeast"/>
        <w:ind w:left="268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384124">
        <w:rPr>
          <w:rFonts w:ascii="Helvetica" w:eastAsia="Times New Roman" w:hAnsi="Helvetica" w:cs="Helvetica"/>
          <w:color w:val="474444"/>
          <w:sz w:val="21"/>
          <w:szCs w:val="21"/>
        </w:rPr>
        <w:t>The command arguments are presented in the syntax in the order in which the arguments are meant to be used.</w:t>
      </w:r>
    </w:p>
    <w:p w:rsidR="00384124" w:rsidRPr="00384124" w:rsidRDefault="00384124" w:rsidP="00384124">
      <w:pPr>
        <w:shd w:val="clear" w:color="auto" w:fill="FFFFFF"/>
        <w:spacing w:after="150" w:line="360" w:lineRule="atLeast"/>
        <w:ind w:left="268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384124">
        <w:rPr>
          <w:rFonts w:ascii="Helvetica" w:eastAsia="Times New Roman" w:hAnsi="Helvetica" w:cs="Helvetica"/>
          <w:color w:val="474444"/>
          <w:sz w:val="21"/>
          <w:szCs w:val="21"/>
        </w:rPr>
        <w:t xml:space="preserve">Arguments are either Required or Optional and are listed alphabetically under their respective subheadings. For each argument, there </w:t>
      </w:r>
      <w:r w:rsidRPr="00384124">
        <w:rPr>
          <w:rFonts w:ascii="Helvetica" w:eastAsia="Times New Roman" w:hAnsi="Helvetica" w:cs="Helvetica"/>
          <w:color w:val="474444"/>
          <w:sz w:val="21"/>
          <w:szCs w:val="21"/>
        </w:rPr>
        <w:lastRenderedPageBreak/>
        <w:t>are </w:t>
      </w:r>
      <w:r w:rsidRPr="00384124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Syntax</w:t>
      </w:r>
      <w:r w:rsidRPr="00384124">
        <w:rPr>
          <w:rFonts w:ascii="Helvetica" w:eastAsia="Times New Roman" w:hAnsi="Helvetica" w:cs="Helvetica"/>
          <w:color w:val="474444"/>
          <w:sz w:val="21"/>
          <w:szCs w:val="21"/>
        </w:rPr>
        <w:t> and </w:t>
      </w:r>
      <w:r w:rsidRPr="00384124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Description</w:t>
      </w:r>
      <w:r w:rsidRPr="00384124">
        <w:rPr>
          <w:rFonts w:ascii="Helvetica" w:eastAsia="Times New Roman" w:hAnsi="Helvetica" w:cs="Helvetica"/>
          <w:color w:val="474444"/>
          <w:sz w:val="21"/>
          <w:szCs w:val="21"/>
        </w:rPr>
        <w:t> sections. Additionally, there might be other sections, such as </w:t>
      </w:r>
      <w:r w:rsidRPr="00384124">
        <w:rPr>
          <w:rFonts w:ascii="Helvetica" w:eastAsia="Times New Roman" w:hAnsi="Helvetica" w:cs="Helvetica"/>
          <w:b/>
          <w:bCs/>
          <w:color w:val="474444"/>
          <w:sz w:val="21"/>
          <w:szCs w:val="21"/>
        </w:rPr>
        <w:t>Default</w:t>
      </w:r>
      <w:r w:rsidRPr="00384124">
        <w:rPr>
          <w:rFonts w:ascii="Helvetica" w:eastAsia="Times New Roman" w:hAnsi="Helvetica" w:cs="Helvetica"/>
          <w:color w:val="474444"/>
          <w:sz w:val="21"/>
          <w:szCs w:val="21"/>
        </w:rPr>
        <w:t>that provide information about the argument.</w:t>
      </w:r>
    </w:p>
    <w:p w:rsidR="00384124" w:rsidRPr="00384124" w:rsidRDefault="00384124" w:rsidP="00384124">
      <w:pPr>
        <w:shd w:val="clear" w:color="auto" w:fill="FFFFFF"/>
        <w:spacing w:before="300" w:after="150" w:line="240" w:lineRule="auto"/>
        <w:ind w:left="2688"/>
        <w:outlineLvl w:val="1"/>
        <w:rPr>
          <w:rFonts w:ascii="proxima_nova" w:eastAsia="Times New Roman" w:hAnsi="proxima_nova"/>
          <w:b/>
          <w:bCs/>
          <w:color w:val="2D2D2D"/>
          <w:sz w:val="45"/>
          <w:szCs w:val="45"/>
        </w:rPr>
      </w:pPr>
      <w:r w:rsidRPr="00384124">
        <w:rPr>
          <w:rFonts w:ascii="proxima_nova" w:eastAsia="Times New Roman" w:hAnsi="proxima_nova"/>
          <w:b/>
          <w:bCs/>
          <w:color w:val="2D2D2D"/>
          <w:sz w:val="45"/>
          <w:szCs w:val="45"/>
        </w:rPr>
        <w:t>Formatting conventions</w:t>
      </w:r>
    </w:p>
    <w:p w:rsidR="00384124" w:rsidRPr="00384124" w:rsidRDefault="00384124" w:rsidP="00384124">
      <w:pPr>
        <w:shd w:val="clear" w:color="auto" w:fill="FFFFFF"/>
        <w:spacing w:before="300" w:after="150" w:line="240" w:lineRule="auto"/>
        <w:ind w:left="2688"/>
        <w:outlineLvl w:val="2"/>
        <w:rPr>
          <w:rFonts w:ascii="proxima_nova" w:eastAsia="Times New Roman" w:hAnsi="proxima_nova"/>
          <w:b/>
          <w:bCs/>
          <w:color w:val="2D2D2D"/>
          <w:sz w:val="32"/>
          <w:szCs w:val="32"/>
        </w:rPr>
      </w:pPr>
      <w:r w:rsidRPr="00384124">
        <w:rPr>
          <w:rFonts w:ascii="proxima_nova" w:eastAsia="Times New Roman" w:hAnsi="proxima_nova"/>
          <w:b/>
          <w:bCs/>
          <w:i/>
          <w:iCs/>
          <w:color w:val="2D2D2D"/>
          <w:sz w:val="32"/>
          <w:szCs w:val="32"/>
        </w:rPr>
        <w:t>Italic</w:t>
      </w:r>
    </w:p>
    <w:p w:rsidR="00384124" w:rsidRPr="00384124" w:rsidRDefault="00384124" w:rsidP="00384124">
      <w:pPr>
        <w:shd w:val="clear" w:color="auto" w:fill="FFFFFF"/>
        <w:spacing w:after="150" w:line="360" w:lineRule="atLeast"/>
        <w:ind w:left="2688"/>
        <w:rPr>
          <w:rFonts w:ascii="Helvetica" w:eastAsia="Times New Roman" w:hAnsi="Helvetica" w:cs="Helvetica"/>
          <w:color w:val="474444"/>
          <w:sz w:val="21"/>
          <w:szCs w:val="21"/>
        </w:rPr>
      </w:pPr>
      <w:r w:rsidRPr="00384124">
        <w:rPr>
          <w:rFonts w:ascii="Helvetica" w:eastAsia="Times New Roman" w:hAnsi="Helvetica" w:cs="Helvetica"/>
          <w:color w:val="474444"/>
          <w:sz w:val="21"/>
          <w:szCs w:val="21"/>
        </w:rPr>
        <w:t>When referring to another manual in the set of Splunk documentation, the name of the manual appears in italic.</w:t>
      </w:r>
    </w:p>
    <w:p w:rsidR="0003421B" w:rsidRDefault="0003421B"/>
    <w:sectPr w:rsidR="0003421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263C" w:rsidRDefault="0009263C" w:rsidP="00384124">
      <w:pPr>
        <w:spacing w:after="0" w:line="240" w:lineRule="auto"/>
      </w:pPr>
      <w:r>
        <w:separator/>
      </w:r>
    </w:p>
  </w:endnote>
  <w:endnote w:type="continuationSeparator" w:id="0">
    <w:p w:rsidR="0009263C" w:rsidRDefault="0009263C" w:rsidP="0038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_nova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4124" w:rsidRDefault="00384124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73D5E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73D5E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384124" w:rsidRDefault="003841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263C" w:rsidRDefault="0009263C" w:rsidP="00384124">
      <w:pPr>
        <w:spacing w:after="0" w:line="240" w:lineRule="auto"/>
      </w:pPr>
      <w:r>
        <w:separator/>
      </w:r>
    </w:p>
  </w:footnote>
  <w:footnote w:type="continuationSeparator" w:id="0">
    <w:p w:rsidR="0009263C" w:rsidRDefault="0009263C" w:rsidP="00384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24"/>
    <w:rsid w:val="0003421B"/>
    <w:rsid w:val="0009263C"/>
    <w:rsid w:val="00264A97"/>
    <w:rsid w:val="00384124"/>
    <w:rsid w:val="00F218CF"/>
    <w:rsid w:val="00F7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F84D6-8C5C-3049-BFDD-838FA603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1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41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41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4124"/>
    <w:rPr>
      <w:sz w:val="22"/>
      <w:szCs w:val="22"/>
    </w:rPr>
  </w:style>
  <w:style w:type="character" w:styleId="Hyperlink">
    <w:name w:val="Hyperlink"/>
    <w:uiPriority w:val="99"/>
    <w:unhideWhenUsed/>
    <w:rsid w:val="00384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splunk.com/Documentation/Splunk/latest/SearchReference/HowToUseThisManu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Links>
    <vt:vector size="6" baseType="variant">
      <vt:variant>
        <vt:i4>5111885</vt:i4>
      </vt:variant>
      <vt:variant>
        <vt:i4>0</vt:i4>
      </vt:variant>
      <vt:variant>
        <vt:i4>0</vt:i4>
      </vt:variant>
      <vt:variant>
        <vt:i4>5</vt:i4>
      </vt:variant>
      <vt:variant>
        <vt:lpwstr>http://docs.splunk.com/Documentation/Splunk/latest/SearchReference/HowToUseThisManual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2016-06-10T07:09:00Z</cp:lastPrinted>
  <dcterms:created xsi:type="dcterms:W3CDTF">2024-05-22T04:40:00Z</dcterms:created>
  <dcterms:modified xsi:type="dcterms:W3CDTF">2024-05-22T04:40:00Z</dcterms:modified>
</cp:coreProperties>
</file>