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6CB03" w14:textId="77777777" w:rsidR="00AA572A" w:rsidRPr="00AA572A" w:rsidRDefault="00AA572A" w:rsidP="00AA572A">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AA572A">
        <w:rPr>
          <w:rFonts w:ascii="Roboto" w:eastAsia="Times New Roman" w:hAnsi="Roboto" w:cs="Times New Roman"/>
          <w:b/>
          <w:bCs/>
          <w:color w:val="202124"/>
          <w:spacing w:val="-4"/>
          <w:kern w:val="36"/>
          <w:sz w:val="54"/>
          <w:szCs w:val="54"/>
          <w:lang w:val="en-IN"/>
        </w:rPr>
        <w:t>Cloud Data Fusion</w:t>
      </w:r>
    </w:p>
    <w:p w14:paraId="7E4700E9" w14:textId="77777777" w:rsidR="00AA572A" w:rsidRPr="00AA572A" w:rsidRDefault="00AA572A" w:rsidP="00AA572A">
      <w:p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Fully managed, cloud-native data integration at any scale.</w:t>
      </w:r>
    </w:p>
    <w:p w14:paraId="04FAEE26" w14:textId="77777777" w:rsidR="00AA572A" w:rsidRPr="00AA572A" w:rsidRDefault="00AA572A" w:rsidP="00AA572A">
      <w:pPr>
        <w:shd w:val="clear" w:color="auto" w:fill="FFFFFF"/>
        <w:spacing w:before="240"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New customers get $300 in free credits to spend on Data Fusion. All customers get the first 120 hours of pipeline development free per month, per account, not charged against your credits.</w:t>
      </w:r>
    </w:p>
    <w:p w14:paraId="40F50B24" w14:textId="298ED2E4" w:rsidR="00AE49E6" w:rsidRDefault="00AE49E6"/>
    <w:p w14:paraId="2B53471B" w14:textId="77777777" w:rsidR="00AA572A" w:rsidRPr="00AA572A" w:rsidRDefault="00AA572A" w:rsidP="00AA572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Visual point-and-click interface enabling code-free deployment of ETL/ELT data pipelines</w:t>
      </w:r>
    </w:p>
    <w:p w14:paraId="34DB9201" w14:textId="77777777" w:rsidR="00AA572A" w:rsidRPr="00AA572A" w:rsidRDefault="00AA572A" w:rsidP="00AA572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Broad library of 150+ preconfigured </w:t>
      </w:r>
      <w:hyperlink r:id="rId7" w:history="1">
        <w:r w:rsidRPr="00AA572A">
          <w:rPr>
            <w:rFonts w:ascii="Roboto" w:eastAsia="Times New Roman" w:hAnsi="Roboto" w:cs="Times New Roman"/>
            <w:color w:val="1A73E8"/>
            <w:sz w:val="27"/>
            <w:szCs w:val="27"/>
            <w:u w:val="single"/>
            <w:lang w:val="en-IN"/>
          </w:rPr>
          <w:t>connectors and transformations</w:t>
        </w:r>
      </w:hyperlink>
      <w:r w:rsidRPr="00AA572A">
        <w:rPr>
          <w:rFonts w:ascii="Roboto" w:eastAsia="Times New Roman" w:hAnsi="Roboto" w:cs="Times New Roman"/>
          <w:color w:val="5F6368"/>
          <w:sz w:val="27"/>
          <w:szCs w:val="27"/>
          <w:lang w:val="en-IN"/>
        </w:rPr>
        <w:t>, at no additional cost</w:t>
      </w:r>
    </w:p>
    <w:p w14:paraId="667CF6DE" w14:textId="77777777" w:rsidR="00AA572A" w:rsidRPr="00AA572A" w:rsidRDefault="00AA572A" w:rsidP="00AA572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Natively integrated best-in-class Google Cloud services</w:t>
      </w:r>
    </w:p>
    <w:p w14:paraId="63179FED" w14:textId="77777777" w:rsidR="00AA572A" w:rsidRPr="00AA572A" w:rsidRDefault="00AA572A" w:rsidP="00AA572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End-to-end data lineage for root cause and impact analysis</w:t>
      </w:r>
    </w:p>
    <w:p w14:paraId="1C5F3BEA" w14:textId="77777777" w:rsidR="00AA572A" w:rsidRPr="00AA572A" w:rsidRDefault="00AA572A" w:rsidP="00AA572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A572A">
        <w:rPr>
          <w:rFonts w:ascii="Roboto" w:eastAsia="Times New Roman" w:hAnsi="Roboto" w:cs="Times New Roman"/>
          <w:color w:val="5F6368"/>
          <w:sz w:val="27"/>
          <w:szCs w:val="27"/>
          <w:lang w:val="en-IN"/>
        </w:rPr>
        <w:t>Built with an open source core (</w:t>
      </w:r>
      <w:hyperlink r:id="rId8" w:tgtFrame="_blank" w:history="1">
        <w:r w:rsidRPr="00AA572A">
          <w:rPr>
            <w:rFonts w:ascii="Roboto" w:eastAsia="Times New Roman" w:hAnsi="Roboto" w:cs="Times New Roman"/>
            <w:color w:val="1A73E8"/>
            <w:sz w:val="27"/>
            <w:szCs w:val="27"/>
            <w:u w:val="single"/>
            <w:lang w:val="en-IN"/>
          </w:rPr>
          <w:t>CDAP</w:t>
        </w:r>
      </w:hyperlink>
      <w:r w:rsidRPr="00AA572A">
        <w:rPr>
          <w:rFonts w:ascii="Roboto" w:eastAsia="Times New Roman" w:hAnsi="Roboto" w:cs="Times New Roman"/>
          <w:color w:val="5F6368"/>
          <w:sz w:val="27"/>
          <w:szCs w:val="27"/>
          <w:lang w:val="en-IN"/>
        </w:rPr>
        <w:t>) for pipeline portability</w:t>
      </w:r>
    </w:p>
    <w:p w14:paraId="673D394F" w14:textId="0620157F" w:rsidR="00AA572A" w:rsidRDefault="00AA572A"/>
    <w:p w14:paraId="10FDA702" w14:textId="77777777" w:rsidR="00F72C48" w:rsidRDefault="00F72C48" w:rsidP="00F72C48">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6DFCB025" w14:textId="77777777" w:rsidR="00F72C48" w:rsidRDefault="00F72C48" w:rsidP="00F72C4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Avoid technical bottlenecks and lift productivity</w:t>
      </w:r>
    </w:p>
    <w:p w14:paraId="11FE7308"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Fusion’s intuitive drag-and-drop interface, pre-built connectors, and self-service model of code-free data integration remove technical expertise-based bottlenecks and accelerate time to insight.</w:t>
      </w:r>
    </w:p>
    <w:p w14:paraId="698FA97C" w14:textId="77777777" w:rsidR="00F72C48" w:rsidRDefault="00F72C48" w:rsidP="00F72C4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Lower total cost of pipeline ownership</w:t>
      </w:r>
    </w:p>
    <w:p w14:paraId="4765E100"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A serverless approach leveraging the scalability and reliability of Google services like </w:t>
      </w:r>
      <w:proofErr w:type="spellStart"/>
      <w:r>
        <w:rPr>
          <w:rFonts w:ascii="Roboto" w:hAnsi="Roboto"/>
          <w:color w:val="5F6368"/>
          <w:spacing w:val="2"/>
        </w:rPr>
        <w:t>Dataproc</w:t>
      </w:r>
      <w:proofErr w:type="spellEnd"/>
      <w:r>
        <w:rPr>
          <w:rFonts w:ascii="Roboto" w:hAnsi="Roboto"/>
          <w:color w:val="5F6368"/>
          <w:spacing w:val="2"/>
        </w:rPr>
        <w:t xml:space="preserve"> means Data Fusion offers the best of data integration capabilities with a lower total cost of ownership.</w:t>
      </w:r>
    </w:p>
    <w:p w14:paraId="2A758682" w14:textId="77777777" w:rsidR="00F72C48" w:rsidRDefault="00F72C48" w:rsidP="00F72C48">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Build with a data governance foundation</w:t>
      </w:r>
    </w:p>
    <w:p w14:paraId="79B5E3F8"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With built-in features like end-to-end data lineage, integration metadata, and cloud-native security and data protection services, Data Fusion assists teams with root cause or impact analysis and compliance.</w:t>
      </w:r>
    </w:p>
    <w:p w14:paraId="17E55619" w14:textId="5C4D9C9E" w:rsidR="00F72C48" w:rsidRDefault="00F72C48"/>
    <w:p w14:paraId="367A6264" w14:textId="77777777" w:rsidR="00F72C48" w:rsidRDefault="00F72C48" w:rsidP="00F72C48">
      <w:pPr>
        <w:pStyle w:val="Heading2"/>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101D7424" w14:textId="77777777" w:rsidR="00F72C48" w:rsidRDefault="00F72C48" w:rsidP="00F72C48">
      <w:pPr>
        <w:pStyle w:val="Heading3"/>
        <w:shd w:val="clear" w:color="auto" w:fill="FFFFFF"/>
        <w:spacing w:before="0" w:line="360" w:lineRule="atLeast"/>
        <w:rPr>
          <w:rFonts w:ascii="Roboto" w:hAnsi="Roboto"/>
          <w:b/>
          <w:bCs/>
          <w:color w:val="202124"/>
        </w:rPr>
      </w:pPr>
      <w:r>
        <w:rPr>
          <w:rFonts w:ascii="Roboto" w:hAnsi="Roboto"/>
          <w:b/>
          <w:bCs/>
          <w:color w:val="202124"/>
        </w:rPr>
        <w:t>Open core, delivering hybrid and multi-cloud integration</w:t>
      </w:r>
    </w:p>
    <w:p w14:paraId="54FD4C70"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Fusion is built using open source project CDAP, and this open core ensures data pipeline portability for users. CDAP’s broad integration with on-premises and public cloud platforms gives Cloud Data Fusion users the ability to break down silos and deliver insights that were previously inaccessible.</w:t>
      </w:r>
    </w:p>
    <w:p w14:paraId="146A49D8" w14:textId="77777777" w:rsidR="00F72C48" w:rsidRDefault="00F72C48" w:rsidP="00F72C48">
      <w:pPr>
        <w:pStyle w:val="Heading3"/>
        <w:shd w:val="clear" w:color="auto" w:fill="FFFFFF"/>
        <w:spacing w:before="0" w:line="360" w:lineRule="atLeast"/>
        <w:rPr>
          <w:rFonts w:ascii="Roboto" w:hAnsi="Roboto"/>
          <w:color w:val="202124"/>
        </w:rPr>
      </w:pPr>
      <w:r>
        <w:rPr>
          <w:rFonts w:ascii="Roboto" w:hAnsi="Roboto"/>
          <w:b/>
          <w:bCs/>
          <w:color w:val="202124"/>
        </w:rPr>
        <w:lastRenderedPageBreak/>
        <w:t>Integrated with Google’s industry-leading big data tools</w:t>
      </w:r>
    </w:p>
    <w:p w14:paraId="4C9F9F30"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Fusion’s integration with Google Cloud simplifies data security and ensures data is immediately available for analysis. Whether you’re curating a data lake with </w:t>
      </w:r>
      <w:hyperlink r:id="rId9" w:history="1">
        <w:r>
          <w:rPr>
            <w:rStyle w:val="Hyperlink"/>
            <w:rFonts w:ascii="Roboto" w:eastAsiaTheme="majorEastAsia" w:hAnsi="Roboto"/>
            <w:color w:val="1A73E8"/>
            <w:spacing w:val="2"/>
          </w:rPr>
          <w:t>Cloud Storage</w:t>
        </w:r>
      </w:hyperlink>
      <w:r>
        <w:rPr>
          <w:rFonts w:ascii="Roboto" w:hAnsi="Roboto"/>
          <w:color w:val="5F6368"/>
          <w:spacing w:val="2"/>
        </w:rPr>
        <w:t> and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"https://cloud.google.com/dataproc" </w:instrText>
      </w:r>
      <w:r>
        <w:rPr>
          <w:rFonts w:ascii="Roboto" w:hAnsi="Roboto"/>
          <w:color w:val="5F6368"/>
          <w:spacing w:val="2"/>
        </w:rPr>
        <w:fldChar w:fldCharType="separate"/>
      </w:r>
      <w:r>
        <w:rPr>
          <w:rStyle w:val="Hyperlink"/>
          <w:rFonts w:ascii="Roboto" w:eastAsiaTheme="majorEastAsia" w:hAnsi="Roboto"/>
          <w:color w:val="1A73E8"/>
          <w:spacing w:val="2"/>
        </w:rPr>
        <w:t>Dataproc</w:t>
      </w:r>
      <w:proofErr w:type="spellEnd"/>
      <w:r>
        <w:rPr>
          <w:rFonts w:ascii="Roboto" w:hAnsi="Roboto"/>
          <w:color w:val="5F6368"/>
          <w:spacing w:val="2"/>
        </w:rPr>
        <w:fldChar w:fldCharType="end"/>
      </w:r>
      <w:r>
        <w:rPr>
          <w:rFonts w:ascii="Roboto" w:hAnsi="Roboto"/>
          <w:color w:val="5F6368"/>
          <w:spacing w:val="2"/>
        </w:rPr>
        <w:t>, moving data into </w:t>
      </w:r>
      <w:proofErr w:type="spellStart"/>
      <w:r>
        <w:rPr>
          <w:rFonts w:ascii="Roboto" w:hAnsi="Roboto"/>
          <w:color w:val="5F6368"/>
          <w:spacing w:val="2"/>
        </w:rPr>
        <w:fldChar w:fldCharType="begin"/>
      </w:r>
      <w:r>
        <w:rPr>
          <w:rFonts w:ascii="Roboto" w:hAnsi="Roboto"/>
          <w:color w:val="5F6368"/>
          <w:spacing w:val="2"/>
        </w:rPr>
        <w:instrText xml:space="preserve"> HYPERLINK "https://cloud.google.com/bigquery" </w:instrText>
      </w:r>
      <w:r>
        <w:rPr>
          <w:rFonts w:ascii="Roboto" w:hAnsi="Roboto"/>
          <w:color w:val="5F6368"/>
          <w:spacing w:val="2"/>
        </w:rPr>
        <w:fldChar w:fldCharType="separate"/>
      </w:r>
      <w:r>
        <w:rPr>
          <w:rStyle w:val="Hyperlink"/>
          <w:rFonts w:ascii="Roboto" w:eastAsiaTheme="majorEastAsia" w:hAnsi="Roboto"/>
          <w:color w:val="1A73E8"/>
          <w:spacing w:val="2"/>
        </w:rPr>
        <w:t>BigQuery</w:t>
      </w:r>
      <w:proofErr w:type="spellEnd"/>
      <w:r>
        <w:rPr>
          <w:rFonts w:ascii="Roboto" w:hAnsi="Roboto"/>
          <w:color w:val="5F6368"/>
          <w:spacing w:val="2"/>
        </w:rPr>
        <w:fldChar w:fldCharType="end"/>
      </w:r>
      <w:r>
        <w:rPr>
          <w:rFonts w:ascii="Roboto" w:hAnsi="Roboto"/>
          <w:color w:val="5F6368"/>
          <w:spacing w:val="2"/>
        </w:rPr>
        <w:t> for data warehousing, or transforming data to land it in a relational store like </w:t>
      </w:r>
      <w:hyperlink r:id="rId10" w:history="1">
        <w:r>
          <w:rPr>
            <w:rStyle w:val="Hyperlink"/>
            <w:rFonts w:ascii="Roboto" w:eastAsiaTheme="majorEastAsia" w:hAnsi="Roboto"/>
            <w:color w:val="1A73E8"/>
            <w:spacing w:val="2"/>
          </w:rPr>
          <w:t>Cloud Spanner</w:t>
        </w:r>
      </w:hyperlink>
      <w:r>
        <w:rPr>
          <w:rFonts w:ascii="Roboto" w:hAnsi="Roboto"/>
          <w:color w:val="5F6368"/>
          <w:spacing w:val="2"/>
        </w:rPr>
        <w:t>, Cloud Data Fusion’s integration makes development and iteration fast and easy.</w:t>
      </w:r>
    </w:p>
    <w:p w14:paraId="22AAC55D" w14:textId="77777777" w:rsidR="00F72C48" w:rsidRDefault="00F72C48" w:rsidP="00F72C48">
      <w:pPr>
        <w:pStyle w:val="Heading3"/>
        <w:shd w:val="clear" w:color="auto" w:fill="FFFFFF"/>
        <w:spacing w:before="0" w:line="360" w:lineRule="atLeast"/>
        <w:rPr>
          <w:rFonts w:ascii="Roboto" w:hAnsi="Roboto"/>
          <w:color w:val="202124"/>
        </w:rPr>
      </w:pPr>
      <w:r>
        <w:rPr>
          <w:rFonts w:ascii="Roboto" w:hAnsi="Roboto"/>
          <w:b/>
          <w:bCs/>
          <w:color w:val="202124"/>
        </w:rPr>
        <w:t>Data integration through collaboration and standardization</w:t>
      </w:r>
    </w:p>
    <w:p w14:paraId="0C623ADC" w14:textId="77777777" w:rsidR="00F72C48" w:rsidRDefault="00F72C48" w:rsidP="00F72C48">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Cloud Data Fusion offers </w:t>
      </w:r>
      <w:hyperlink r:id="rId11" w:history="1">
        <w:r>
          <w:rPr>
            <w:rStyle w:val="Hyperlink"/>
            <w:rFonts w:ascii="Roboto" w:eastAsiaTheme="majorEastAsia" w:hAnsi="Roboto"/>
            <w:color w:val="1A73E8"/>
            <w:spacing w:val="2"/>
          </w:rPr>
          <w:t>pre-built transformations</w:t>
        </w:r>
      </w:hyperlink>
      <w:r>
        <w:rPr>
          <w:rFonts w:ascii="Roboto" w:hAnsi="Roboto"/>
          <w:color w:val="5F6368"/>
          <w:spacing w:val="2"/>
        </w:rPr>
        <w:t> for both batch and real-time processing. It provides the ability to create an internal library of custom connections and transformations that can be validated, shared, and reused across teams. It lays the foundation of collaborative data engineering and improves productivity. That means less waiting for ETL developers and data engineers and, importantly, less sweating about code quality.</w:t>
      </w:r>
    </w:p>
    <w:p w14:paraId="287E442C" w14:textId="75D5A3C4" w:rsidR="00F72C48" w:rsidRDefault="00F72C48"/>
    <w:p w14:paraId="55380B77" w14:textId="77777777" w:rsidR="00F72C48" w:rsidRDefault="00F72C48" w:rsidP="00F72C48">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397"/>
        <w:gridCol w:w="5529"/>
      </w:tblGrid>
      <w:tr w:rsidR="00F72C48" w14:paraId="32CF271D" w14:textId="77777777" w:rsidTr="00F72C48">
        <w:tc>
          <w:tcPr>
            <w:tcW w:w="3397" w:type="dxa"/>
            <w:hideMark/>
          </w:tcPr>
          <w:p w14:paraId="621CA467" w14:textId="77777777" w:rsidR="00F72C48" w:rsidRDefault="00F72C48">
            <w:pPr>
              <w:spacing w:line="300" w:lineRule="atLeast"/>
              <w:rPr>
                <w:rFonts w:ascii="Times New Roman" w:hAnsi="Times New Roman"/>
                <w:color w:val="5F6368"/>
                <w:sz w:val="21"/>
                <w:szCs w:val="21"/>
              </w:rPr>
            </w:pPr>
            <w:r>
              <w:rPr>
                <w:rStyle w:val="cws-headline--headline-6"/>
                <w:rFonts w:ascii="Roboto" w:hAnsi="Roboto"/>
                <w:color w:val="202124"/>
              </w:rPr>
              <w:t>Code-free self-service</w:t>
            </w:r>
          </w:p>
        </w:tc>
        <w:tc>
          <w:tcPr>
            <w:tcW w:w="5529" w:type="dxa"/>
            <w:hideMark/>
          </w:tcPr>
          <w:p w14:paraId="7FDBEAE4" w14:textId="77777777" w:rsidR="00F72C48" w:rsidRDefault="00F72C48">
            <w:pPr>
              <w:spacing w:line="450" w:lineRule="atLeast"/>
              <w:rPr>
                <w:color w:val="5F6368"/>
                <w:sz w:val="21"/>
                <w:szCs w:val="21"/>
              </w:rPr>
            </w:pPr>
            <w:r>
              <w:rPr>
                <w:rStyle w:val="cws-body"/>
                <w:rFonts w:ascii="Roboto" w:hAnsi="Roboto"/>
                <w:color w:val="5F6368"/>
                <w:spacing w:val="2"/>
              </w:rPr>
              <w:t>Remove bottlenecks by enabling nontechnical users through a code-free graphical interface that delivers point-and-click data integration.</w:t>
            </w:r>
          </w:p>
        </w:tc>
      </w:tr>
      <w:tr w:rsidR="00F72C48" w14:paraId="28729CBD" w14:textId="77777777" w:rsidTr="00F72C48">
        <w:tc>
          <w:tcPr>
            <w:tcW w:w="3397" w:type="dxa"/>
            <w:hideMark/>
          </w:tcPr>
          <w:p w14:paraId="501C47CB" w14:textId="77777777" w:rsidR="00F72C48" w:rsidRDefault="00F72C48">
            <w:pPr>
              <w:spacing w:line="300" w:lineRule="atLeast"/>
              <w:rPr>
                <w:color w:val="5F6368"/>
                <w:sz w:val="21"/>
                <w:szCs w:val="21"/>
              </w:rPr>
            </w:pPr>
            <w:r>
              <w:rPr>
                <w:rStyle w:val="cws-headline--headline-6"/>
                <w:rFonts w:ascii="Roboto" w:hAnsi="Roboto"/>
                <w:color w:val="202124"/>
              </w:rPr>
              <w:t>Collaborative data engineering</w:t>
            </w:r>
          </w:p>
        </w:tc>
        <w:tc>
          <w:tcPr>
            <w:tcW w:w="5529" w:type="dxa"/>
            <w:hideMark/>
          </w:tcPr>
          <w:p w14:paraId="67FB22CA" w14:textId="77777777" w:rsidR="00F72C48" w:rsidRDefault="00F72C48">
            <w:pPr>
              <w:spacing w:line="450" w:lineRule="atLeast"/>
              <w:rPr>
                <w:color w:val="5F6368"/>
                <w:sz w:val="21"/>
                <w:szCs w:val="21"/>
              </w:rPr>
            </w:pPr>
            <w:r>
              <w:rPr>
                <w:rStyle w:val="cws-body"/>
                <w:rFonts w:ascii="Roboto" w:hAnsi="Roboto"/>
                <w:color w:val="5F6368"/>
                <w:spacing w:val="2"/>
              </w:rPr>
              <w:t>Cloud Data Fusion offers the ability to create an internal library of custom connections and transformations that can be validated, shared, and reused across an organization.</w:t>
            </w:r>
          </w:p>
        </w:tc>
      </w:tr>
      <w:tr w:rsidR="00F72C48" w14:paraId="4065A1D3" w14:textId="77777777" w:rsidTr="00F72C48">
        <w:tc>
          <w:tcPr>
            <w:tcW w:w="3397" w:type="dxa"/>
            <w:hideMark/>
          </w:tcPr>
          <w:p w14:paraId="4FF3D414" w14:textId="77777777" w:rsidR="00F72C48" w:rsidRDefault="00F72C48">
            <w:pPr>
              <w:spacing w:line="300" w:lineRule="atLeast"/>
              <w:rPr>
                <w:color w:val="5F6368"/>
                <w:sz w:val="21"/>
                <w:szCs w:val="21"/>
              </w:rPr>
            </w:pPr>
            <w:r>
              <w:rPr>
                <w:rStyle w:val="cws-headline--headline-6"/>
                <w:rFonts w:ascii="Roboto" w:hAnsi="Roboto"/>
                <w:color w:val="202124"/>
              </w:rPr>
              <w:t>Google Cloud-native</w:t>
            </w:r>
          </w:p>
        </w:tc>
        <w:tc>
          <w:tcPr>
            <w:tcW w:w="5529" w:type="dxa"/>
            <w:hideMark/>
          </w:tcPr>
          <w:p w14:paraId="581BDFCD" w14:textId="77777777" w:rsidR="00F72C48" w:rsidRDefault="00F72C48">
            <w:pPr>
              <w:spacing w:line="450" w:lineRule="atLeast"/>
              <w:rPr>
                <w:color w:val="5F6368"/>
                <w:sz w:val="21"/>
                <w:szCs w:val="21"/>
              </w:rPr>
            </w:pPr>
            <w:r>
              <w:rPr>
                <w:rStyle w:val="cws-body"/>
                <w:rFonts w:ascii="Roboto" w:hAnsi="Roboto"/>
                <w:color w:val="5F6368"/>
                <w:spacing w:val="2"/>
              </w:rPr>
              <w:t>Fully managed Google Cloud-native architecture unlocks the scalability, reliability, security, and privacy features of Google Cloud.</w:t>
            </w:r>
          </w:p>
        </w:tc>
      </w:tr>
      <w:tr w:rsidR="00F72C48" w14:paraId="6C87F806" w14:textId="77777777" w:rsidTr="00F72C48">
        <w:tc>
          <w:tcPr>
            <w:tcW w:w="3397" w:type="dxa"/>
            <w:hideMark/>
          </w:tcPr>
          <w:p w14:paraId="15FDFA24" w14:textId="77777777" w:rsidR="00F72C48" w:rsidRDefault="00F72C48">
            <w:pPr>
              <w:spacing w:line="300" w:lineRule="atLeast"/>
              <w:rPr>
                <w:color w:val="5F6368"/>
                <w:sz w:val="21"/>
                <w:szCs w:val="21"/>
              </w:rPr>
            </w:pPr>
            <w:r>
              <w:rPr>
                <w:rStyle w:val="cws-headline--headline-6"/>
                <w:rFonts w:ascii="Roboto" w:hAnsi="Roboto"/>
                <w:color w:val="202124"/>
              </w:rPr>
              <w:t>Real-time data integration</w:t>
            </w:r>
          </w:p>
        </w:tc>
        <w:tc>
          <w:tcPr>
            <w:tcW w:w="5529" w:type="dxa"/>
            <w:hideMark/>
          </w:tcPr>
          <w:p w14:paraId="4B71EC6D" w14:textId="77777777" w:rsidR="00F72C48" w:rsidRDefault="001D71C0">
            <w:pPr>
              <w:spacing w:line="450" w:lineRule="atLeast"/>
              <w:rPr>
                <w:color w:val="5F6368"/>
                <w:sz w:val="21"/>
                <w:szCs w:val="21"/>
              </w:rPr>
            </w:pPr>
            <w:hyperlink r:id="rId12" w:history="1">
              <w:r w:rsidR="00F72C48">
                <w:rPr>
                  <w:rStyle w:val="Hyperlink"/>
                  <w:rFonts w:ascii="Roboto" w:hAnsi="Roboto"/>
                  <w:color w:val="1967D2"/>
                  <w:spacing w:val="2"/>
                </w:rPr>
                <w:t>Replicate</w:t>
              </w:r>
            </w:hyperlink>
            <w:r w:rsidR="00F72C48">
              <w:rPr>
                <w:rStyle w:val="cws-body"/>
                <w:rFonts w:ascii="Roboto" w:hAnsi="Roboto"/>
                <w:color w:val="5F6368"/>
                <w:spacing w:val="2"/>
              </w:rPr>
              <w:t xml:space="preserve"> transactional and operational databases such as SQL Server, Oracle and MySQL directly into </w:t>
            </w:r>
            <w:proofErr w:type="spellStart"/>
            <w:r w:rsidR="00F72C48">
              <w:rPr>
                <w:rStyle w:val="cws-body"/>
                <w:rFonts w:ascii="Roboto" w:hAnsi="Roboto"/>
                <w:color w:val="5F6368"/>
                <w:spacing w:val="2"/>
              </w:rPr>
              <w:t>BigQuery</w:t>
            </w:r>
            <w:proofErr w:type="spellEnd"/>
            <w:r w:rsidR="00F72C48">
              <w:rPr>
                <w:rStyle w:val="cws-body"/>
                <w:rFonts w:ascii="Roboto" w:hAnsi="Roboto"/>
                <w:color w:val="5F6368"/>
                <w:spacing w:val="2"/>
              </w:rPr>
              <w:t xml:space="preserve"> with just a few clicks using Data Fusion’s replication feature. Integration with </w:t>
            </w:r>
            <w:proofErr w:type="spellStart"/>
            <w:r w:rsidR="00F72C48">
              <w:rPr>
                <w:rStyle w:val="cws-body"/>
                <w:rFonts w:ascii="Roboto" w:hAnsi="Roboto"/>
                <w:color w:val="5F6368"/>
                <w:spacing w:val="2"/>
              </w:rPr>
              <w:fldChar w:fldCharType="begin"/>
            </w:r>
            <w:r w:rsidR="00F72C48">
              <w:rPr>
                <w:rStyle w:val="cws-body"/>
                <w:rFonts w:ascii="Roboto" w:hAnsi="Roboto"/>
                <w:color w:val="5F6368"/>
                <w:spacing w:val="2"/>
              </w:rPr>
              <w:instrText xml:space="preserve"> HYPERLINK "https://cloud.google.com/datastream" </w:instrText>
            </w:r>
            <w:r w:rsidR="00F72C48">
              <w:rPr>
                <w:rStyle w:val="cws-body"/>
                <w:rFonts w:ascii="Roboto" w:hAnsi="Roboto"/>
                <w:color w:val="5F6368"/>
                <w:spacing w:val="2"/>
              </w:rPr>
              <w:fldChar w:fldCharType="separate"/>
            </w:r>
            <w:r w:rsidR="00F72C48">
              <w:rPr>
                <w:rStyle w:val="Hyperlink"/>
                <w:rFonts w:ascii="Roboto" w:hAnsi="Roboto"/>
                <w:color w:val="1967D2"/>
                <w:spacing w:val="2"/>
              </w:rPr>
              <w:t>Datastream</w:t>
            </w:r>
            <w:proofErr w:type="spellEnd"/>
            <w:r w:rsidR="00F72C48">
              <w:rPr>
                <w:rStyle w:val="cws-body"/>
                <w:rFonts w:ascii="Roboto" w:hAnsi="Roboto"/>
                <w:color w:val="5F6368"/>
                <w:spacing w:val="2"/>
              </w:rPr>
              <w:fldChar w:fldCharType="end"/>
            </w:r>
            <w:r w:rsidR="00F72C48">
              <w:rPr>
                <w:rStyle w:val="cws-body"/>
                <w:rFonts w:ascii="Roboto" w:hAnsi="Roboto"/>
                <w:color w:val="5F6368"/>
                <w:spacing w:val="2"/>
              </w:rPr>
              <w:t xml:space="preserve"> allows you to deliver change streams into </w:t>
            </w:r>
            <w:proofErr w:type="spellStart"/>
            <w:r w:rsidR="00F72C48">
              <w:rPr>
                <w:rStyle w:val="cws-body"/>
                <w:rFonts w:ascii="Roboto" w:hAnsi="Roboto"/>
                <w:color w:val="5F6368"/>
                <w:spacing w:val="2"/>
              </w:rPr>
              <w:t>BigQuery</w:t>
            </w:r>
            <w:proofErr w:type="spellEnd"/>
            <w:r w:rsidR="00F72C48">
              <w:rPr>
                <w:rStyle w:val="cws-body"/>
                <w:rFonts w:ascii="Roboto" w:hAnsi="Roboto"/>
                <w:color w:val="5F6368"/>
                <w:spacing w:val="2"/>
              </w:rPr>
              <w:t xml:space="preserve"> for continuous analytics. Use feasibility assessment for faster development </w:t>
            </w:r>
            <w:r w:rsidR="00F72C48">
              <w:rPr>
                <w:rStyle w:val="cws-body"/>
                <w:rFonts w:ascii="Roboto" w:hAnsi="Roboto"/>
                <w:color w:val="5F6368"/>
                <w:spacing w:val="2"/>
              </w:rPr>
              <w:lastRenderedPageBreak/>
              <w:t>iterations and performance/health monitoring for observability.</w:t>
            </w:r>
          </w:p>
        </w:tc>
      </w:tr>
      <w:tr w:rsidR="00F72C48" w14:paraId="1C2EB699" w14:textId="77777777" w:rsidTr="00F72C48">
        <w:tc>
          <w:tcPr>
            <w:tcW w:w="3397" w:type="dxa"/>
            <w:hideMark/>
          </w:tcPr>
          <w:p w14:paraId="3742E3A2" w14:textId="77777777" w:rsidR="00F72C48" w:rsidRDefault="00F72C48">
            <w:pPr>
              <w:spacing w:line="300" w:lineRule="atLeast"/>
              <w:rPr>
                <w:color w:val="5F6368"/>
                <w:sz w:val="21"/>
                <w:szCs w:val="21"/>
              </w:rPr>
            </w:pPr>
            <w:r>
              <w:rPr>
                <w:rStyle w:val="cws-headline--headline-6"/>
                <w:rFonts w:ascii="Roboto" w:hAnsi="Roboto"/>
                <w:color w:val="202124"/>
              </w:rPr>
              <w:lastRenderedPageBreak/>
              <w:t>Batch integration</w:t>
            </w:r>
          </w:p>
        </w:tc>
        <w:tc>
          <w:tcPr>
            <w:tcW w:w="5529" w:type="dxa"/>
            <w:hideMark/>
          </w:tcPr>
          <w:p w14:paraId="1C239598" w14:textId="77777777" w:rsidR="00F72C48" w:rsidRDefault="00F72C48">
            <w:pPr>
              <w:spacing w:line="450" w:lineRule="atLeast"/>
              <w:rPr>
                <w:color w:val="5F6368"/>
                <w:sz w:val="21"/>
                <w:szCs w:val="21"/>
              </w:rPr>
            </w:pPr>
            <w:r>
              <w:rPr>
                <w:rStyle w:val="cws-body"/>
                <w:rFonts w:ascii="Roboto" w:hAnsi="Roboto"/>
                <w:color w:val="5F6368"/>
                <w:spacing w:val="2"/>
              </w:rPr>
              <w:t>Design, run and operate high-volumes of data pipelines periodically with support for popular data sources including file systems and object stores, relational and NoSQL databases, SaaS systems, and mainframes.</w:t>
            </w:r>
          </w:p>
        </w:tc>
      </w:tr>
      <w:tr w:rsidR="00F72C48" w14:paraId="1873CEDF" w14:textId="77777777" w:rsidTr="00F72C48">
        <w:tc>
          <w:tcPr>
            <w:tcW w:w="3397" w:type="dxa"/>
            <w:hideMark/>
          </w:tcPr>
          <w:p w14:paraId="471FBEE8" w14:textId="77777777" w:rsidR="00F72C48" w:rsidRDefault="00F72C48">
            <w:pPr>
              <w:spacing w:line="300" w:lineRule="atLeast"/>
              <w:rPr>
                <w:color w:val="5F6368"/>
                <w:sz w:val="21"/>
                <w:szCs w:val="21"/>
              </w:rPr>
            </w:pPr>
            <w:r>
              <w:rPr>
                <w:rStyle w:val="cws-headline--headline-6"/>
                <w:rFonts w:ascii="Roboto" w:hAnsi="Roboto"/>
                <w:color w:val="202124"/>
              </w:rPr>
              <w:t>Enterprise-grade security</w:t>
            </w:r>
          </w:p>
        </w:tc>
        <w:tc>
          <w:tcPr>
            <w:tcW w:w="5529" w:type="dxa"/>
            <w:hideMark/>
          </w:tcPr>
          <w:p w14:paraId="27EBB462" w14:textId="77777777" w:rsidR="00F72C48" w:rsidRDefault="00F72C48">
            <w:pPr>
              <w:spacing w:line="450" w:lineRule="atLeast"/>
              <w:rPr>
                <w:color w:val="5F6368"/>
                <w:sz w:val="21"/>
                <w:szCs w:val="21"/>
              </w:rPr>
            </w:pPr>
            <w:r>
              <w:rPr>
                <w:rStyle w:val="cws-body"/>
                <w:rFonts w:ascii="Roboto" w:hAnsi="Roboto"/>
                <w:color w:val="5F6368"/>
                <w:spacing w:val="2"/>
              </w:rPr>
              <w:t>Integration with</w:t>
            </w:r>
            <w:hyperlink r:id="rId13" w:history="1">
              <w:r>
                <w:rPr>
                  <w:rStyle w:val="Hyperlink"/>
                  <w:rFonts w:ascii="Roboto" w:hAnsi="Roboto"/>
                  <w:color w:val="1967D2"/>
                  <w:spacing w:val="2"/>
                </w:rPr>
                <w:t> Cloud Identity and Access Management (IAM)</w:t>
              </w:r>
            </w:hyperlink>
            <w:r>
              <w:rPr>
                <w:rStyle w:val="cws-body"/>
                <w:rFonts w:ascii="Roboto" w:hAnsi="Roboto"/>
                <w:color w:val="5F6368"/>
                <w:spacing w:val="2"/>
              </w:rPr>
              <w:t>, </w:t>
            </w:r>
            <w:hyperlink r:id="rId14" w:history="1">
              <w:r>
                <w:rPr>
                  <w:rStyle w:val="Hyperlink"/>
                  <w:rFonts w:ascii="Roboto" w:hAnsi="Roboto"/>
                  <w:color w:val="1967D2"/>
                  <w:spacing w:val="2"/>
                </w:rPr>
                <w:t>Private IP</w:t>
              </w:r>
            </w:hyperlink>
            <w:r>
              <w:rPr>
                <w:rStyle w:val="cws-body"/>
                <w:rFonts w:ascii="Roboto" w:hAnsi="Roboto"/>
                <w:color w:val="5F6368"/>
                <w:spacing w:val="2"/>
              </w:rPr>
              <w:t>, </w:t>
            </w:r>
            <w:hyperlink r:id="rId15" w:history="1">
              <w:r>
                <w:rPr>
                  <w:rStyle w:val="Hyperlink"/>
                  <w:rFonts w:ascii="Roboto" w:hAnsi="Roboto"/>
                  <w:color w:val="1967D2"/>
                  <w:spacing w:val="2"/>
                </w:rPr>
                <w:t>VPC-SC</w:t>
              </w:r>
            </w:hyperlink>
            <w:r>
              <w:rPr>
                <w:rStyle w:val="cws-body"/>
                <w:rFonts w:ascii="Roboto" w:hAnsi="Roboto"/>
                <w:color w:val="5F6368"/>
                <w:spacing w:val="2"/>
              </w:rPr>
              <w:t> and </w:t>
            </w:r>
            <w:hyperlink r:id="rId16" w:history="1">
              <w:r>
                <w:rPr>
                  <w:rStyle w:val="Hyperlink"/>
                  <w:rFonts w:ascii="Roboto" w:hAnsi="Roboto"/>
                  <w:color w:val="1967D2"/>
                  <w:spacing w:val="2"/>
                </w:rPr>
                <w:t>CMEK</w:t>
              </w:r>
            </w:hyperlink>
            <w:r>
              <w:rPr>
                <w:rStyle w:val="cws-body"/>
                <w:rFonts w:ascii="Roboto" w:hAnsi="Roboto"/>
                <w:color w:val="5F6368"/>
                <w:spacing w:val="2"/>
              </w:rPr>
              <w:t> provides enterprise security and alleviates risks by ensuring compliance and data protection.</w:t>
            </w:r>
          </w:p>
        </w:tc>
      </w:tr>
      <w:tr w:rsidR="00F72C48" w14:paraId="20745415" w14:textId="77777777" w:rsidTr="00F72C48">
        <w:tc>
          <w:tcPr>
            <w:tcW w:w="3397" w:type="dxa"/>
            <w:hideMark/>
          </w:tcPr>
          <w:p w14:paraId="2DD40E7D" w14:textId="77777777" w:rsidR="00F72C48" w:rsidRDefault="00F72C48">
            <w:pPr>
              <w:spacing w:line="300" w:lineRule="atLeast"/>
              <w:rPr>
                <w:color w:val="5F6368"/>
                <w:sz w:val="21"/>
                <w:szCs w:val="21"/>
              </w:rPr>
            </w:pPr>
            <w:r>
              <w:rPr>
                <w:rStyle w:val="cws-headline--headline-6"/>
                <w:rFonts w:ascii="Roboto" w:hAnsi="Roboto"/>
                <w:color w:val="202124"/>
              </w:rPr>
              <w:t>Integration metadata and lineage</w:t>
            </w:r>
          </w:p>
        </w:tc>
        <w:tc>
          <w:tcPr>
            <w:tcW w:w="5529" w:type="dxa"/>
            <w:hideMark/>
          </w:tcPr>
          <w:p w14:paraId="3B3CA435" w14:textId="77777777" w:rsidR="00F72C48" w:rsidRDefault="00F72C48">
            <w:pPr>
              <w:spacing w:line="450" w:lineRule="atLeast"/>
              <w:rPr>
                <w:color w:val="5F6368"/>
                <w:sz w:val="21"/>
                <w:szCs w:val="21"/>
              </w:rPr>
            </w:pPr>
            <w:r>
              <w:rPr>
                <w:rStyle w:val="cws-body"/>
                <w:rFonts w:ascii="Roboto" w:hAnsi="Roboto"/>
                <w:color w:val="5F6368"/>
                <w:spacing w:val="2"/>
              </w:rPr>
              <w:t>Search integrated datasets by technical and business metadata. Track lineage for all integrated datasets at the dataset and field level.</w:t>
            </w:r>
          </w:p>
        </w:tc>
      </w:tr>
      <w:tr w:rsidR="00F72C48" w14:paraId="7EB3C942" w14:textId="77777777" w:rsidTr="00F72C48">
        <w:tc>
          <w:tcPr>
            <w:tcW w:w="3397" w:type="dxa"/>
            <w:hideMark/>
          </w:tcPr>
          <w:p w14:paraId="29CA6067" w14:textId="77777777" w:rsidR="00F72C48" w:rsidRDefault="00F72C48">
            <w:pPr>
              <w:spacing w:line="300" w:lineRule="atLeast"/>
              <w:rPr>
                <w:color w:val="5F6368"/>
                <w:sz w:val="21"/>
                <w:szCs w:val="21"/>
              </w:rPr>
            </w:pPr>
            <w:r>
              <w:rPr>
                <w:rStyle w:val="cws-headline--headline-6"/>
                <w:rFonts w:ascii="Roboto" w:hAnsi="Roboto"/>
                <w:color w:val="202124"/>
              </w:rPr>
              <w:t>Seamless operations</w:t>
            </w:r>
          </w:p>
        </w:tc>
        <w:tc>
          <w:tcPr>
            <w:tcW w:w="5529" w:type="dxa"/>
            <w:hideMark/>
          </w:tcPr>
          <w:p w14:paraId="53E120CA" w14:textId="77777777" w:rsidR="00F72C48" w:rsidRDefault="00F72C48">
            <w:pPr>
              <w:spacing w:line="450" w:lineRule="atLeast"/>
              <w:rPr>
                <w:color w:val="5F6368"/>
                <w:sz w:val="21"/>
                <w:szCs w:val="21"/>
              </w:rPr>
            </w:pPr>
            <w:r>
              <w:rPr>
                <w:rStyle w:val="cws-body"/>
                <w:rFonts w:ascii="Roboto" w:hAnsi="Roboto"/>
                <w:color w:val="5F6368"/>
                <w:spacing w:val="2"/>
              </w:rPr>
              <w:t>REST APIs, time-based schedules, pipeline state-based triggers, logs, metrics, and monitoring dashboards make it easy to operate in mission-critical environments.</w:t>
            </w:r>
          </w:p>
        </w:tc>
      </w:tr>
      <w:tr w:rsidR="00F72C48" w14:paraId="3F017AE2" w14:textId="77777777" w:rsidTr="00F72C48">
        <w:tc>
          <w:tcPr>
            <w:tcW w:w="3397" w:type="dxa"/>
            <w:hideMark/>
          </w:tcPr>
          <w:p w14:paraId="523CEE0C" w14:textId="77777777" w:rsidR="00F72C48" w:rsidRDefault="00F72C48">
            <w:pPr>
              <w:spacing w:line="300" w:lineRule="atLeast"/>
              <w:rPr>
                <w:color w:val="5F6368"/>
                <w:sz w:val="21"/>
                <w:szCs w:val="21"/>
              </w:rPr>
            </w:pPr>
            <w:r>
              <w:rPr>
                <w:rStyle w:val="cws-headline--headline-6"/>
                <w:rFonts w:ascii="Roboto" w:hAnsi="Roboto"/>
                <w:color w:val="202124"/>
              </w:rPr>
              <w:t>Comprehensive integration toolkit</w:t>
            </w:r>
          </w:p>
        </w:tc>
        <w:tc>
          <w:tcPr>
            <w:tcW w:w="5529" w:type="dxa"/>
            <w:hideMark/>
          </w:tcPr>
          <w:p w14:paraId="068532FB" w14:textId="77777777" w:rsidR="00F72C48" w:rsidRDefault="001D71C0">
            <w:pPr>
              <w:spacing w:line="450" w:lineRule="atLeast"/>
              <w:rPr>
                <w:color w:val="5F6368"/>
                <w:sz w:val="21"/>
                <w:szCs w:val="21"/>
              </w:rPr>
            </w:pPr>
            <w:hyperlink r:id="rId17" w:history="1">
              <w:r w:rsidR="00F72C48">
                <w:rPr>
                  <w:rStyle w:val="Hyperlink"/>
                  <w:rFonts w:ascii="Roboto" w:hAnsi="Roboto"/>
                  <w:color w:val="1967D2"/>
                  <w:spacing w:val="2"/>
                </w:rPr>
                <w:t>Built-in connectors</w:t>
              </w:r>
            </w:hyperlink>
            <w:r w:rsidR="00F72C48">
              <w:rPr>
                <w:rStyle w:val="cws-body"/>
                <w:rFonts w:ascii="Roboto" w:hAnsi="Roboto"/>
                <w:color w:val="5F6368"/>
                <w:spacing w:val="2"/>
              </w:rPr>
              <w:t> to a variety of modern and legacy systems, code-free transformations, conditionals and pre/post processing, alerting and notifications, and error processing provide a comprehensive data integration experience.</w:t>
            </w:r>
          </w:p>
        </w:tc>
      </w:tr>
      <w:tr w:rsidR="00F72C48" w14:paraId="48389982" w14:textId="77777777" w:rsidTr="00F72C48">
        <w:tc>
          <w:tcPr>
            <w:tcW w:w="3397" w:type="dxa"/>
            <w:hideMark/>
          </w:tcPr>
          <w:p w14:paraId="36D416AE" w14:textId="77777777" w:rsidR="00F72C48" w:rsidRDefault="00F72C48">
            <w:pPr>
              <w:spacing w:line="300" w:lineRule="atLeast"/>
              <w:rPr>
                <w:color w:val="5F6368"/>
                <w:sz w:val="21"/>
                <w:szCs w:val="21"/>
              </w:rPr>
            </w:pPr>
            <w:r>
              <w:rPr>
                <w:rStyle w:val="cws-headline--headline-6"/>
                <w:rFonts w:ascii="Roboto" w:hAnsi="Roboto"/>
                <w:color w:val="202124"/>
              </w:rPr>
              <w:t>Hybrid enablement</w:t>
            </w:r>
          </w:p>
        </w:tc>
        <w:tc>
          <w:tcPr>
            <w:tcW w:w="5529" w:type="dxa"/>
            <w:hideMark/>
          </w:tcPr>
          <w:p w14:paraId="0176DE3E" w14:textId="77777777" w:rsidR="00F72C48" w:rsidRDefault="00F72C48">
            <w:pPr>
              <w:spacing w:line="450" w:lineRule="atLeast"/>
              <w:rPr>
                <w:color w:val="5F6368"/>
                <w:sz w:val="21"/>
                <w:szCs w:val="21"/>
              </w:rPr>
            </w:pPr>
            <w:r>
              <w:rPr>
                <w:rStyle w:val="cws-body"/>
                <w:rFonts w:ascii="Roboto" w:hAnsi="Roboto"/>
                <w:color w:val="5F6368"/>
                <w:spacing w:val="2"/>
              </w:rPr>
              <w:t>Open source provides the flexibility and portability required to build standardized data integration solutions across hybrid and multi-cloud environments.</w:t>
            </w:r>
          </w:p>
        </w:tc>
      </w:tr>
    </w:tbl>
    <w:p w14:paraId="57F41ACF" w14:textId="77777777" w:rsidR="00F72C48" w:rsidRPr="00F72C48" w:rsidRDefault="00F72C48" w:rsidP="00F72C48">
      <w:pPr>
        <w:rPr>
          <w:rFonts w:ascii="Times New Roman" w:eastAsia="Times New Roman" w:hAnsi="Times New Roman" w:cs="Times New Roman"/>
          <w:sz w:val="24"/>
          <w:szCs w:val="24"/>
          <w:lang w:val="en-IN"/>
        </w:rPr>
      </w:pPr>
    </w:p>
    <w:p w14:paraId="244E1AB1" w14:textId="3F97BB06" w:rsidR="00F72C48" w:rsidRDefault="00F72C48"/>
    <w:p w14:paraId="3AEEA893" w14:textId="70C5EF9C" w:rsidR="00D84B23" w:rsidRDefault="00D84B23"/>
    <w:p w14:paraId="74861633" w14:textId="570E9D55" w:rsidR="00D84B23" w:rsidRDefault="00D84B23"/>
    <w:p w14:paraId="0C492F60" w14:textId="77777777" w:rsidR="00D84B23" w:rsidRDefault="00D84B23" w:rsidP="00D84B23">
      <w:pPr>
        <w:pStyle w:val="Heading1"/>
        <w:spacing w:before="0" w:beforeAutospacing="0"/>
        <w:textAlignment w:val="center"/>
        <w:rPr>
          <w:color w:val="202124"/>
        </w:rPr>
      </w:pPr>
      <w:r>
        <w:rPr>
          <w:color w:val="202124"/>
        </w:rPr>
        <w:lastRenderedPageBreak/>
        <w:t>What is Cloud Data Fusion?</w:t>
      </w:r>
    </w:p>
    <w:p w14:paraId="366CBE3B" w14:textId="77777777" w:rsidR="00D84B23" w:rsidRDefault="00D84B23" w:rsidP="00D84B23">
      <w:pPr>
        <w:pStyle w:val="NormalWeb"/>
        <w:spacing w:before="420" w:beforeAutospacing="0" w:after="240" w:afterAutospacing="0"/>
        <w:rPr>
          <w:rFonts w:ascii="Roboto" w:hAnsi="Roboto"/>
          <w:color w:val="202124"/>
        </w:rPr>
      </w:pPr>
      <w:r>
        <w:rPr>
          <w:rFonts w:ascii="Roboto" w:hAnsi="Roboto"/>
          <w:color w:val="202124"/>
        </w:rPr>
        <w:t>Cloud Data Fusion is a fully managed, cloud-native, enterprise data integration service for quickly building and managing data pipelines.</w:t>
      </w:r>
    </w:p>
    <w:p w14:paraId="04CAB7E0" w14:textId="77777777" w:rsidR="00D84B23" w:rsidRDefault="00D84B23" w:rsidP="00D84B23">
      <w:pPr>
        <w:pStyle w:val="NormalWeb"/>
        <w:spacing w:before="240" w:beforeAutospacing="0" w:after="240" w:afterAutospacing="0"/>
        <w:rPr>
          <w:rFonts w:ascii="Roboto" w:hAnsi="Roboto"/>
          <w:color w:val="202124"/>
        </w:rPr>
      </w:pPr>
      <w:r>
        <w:rPr>
          <w:rFonts w:ascii="Roboto" w:hAnsi="Roboto"/>
          <w:color w:val="202124"/>
        </w:rPr>
        <w:t>The Cloud Data Fusion web UI lets you to build scalable data integration solutions to clean, prepare, blend, transfer, and transform data, without having to manage the infrastructure.</w:t>
      </w:r>
    </w:p>
    <w:p w14:paraId="6FFCC910" w14:textId="77777777" w:rsidR="00D84B23" w:rsidRDefault="00D84B23" w:rsidP="00D84B23">
      <w:pPr>
        <w:pStyle w:val="NormalWeb"/>
        <w:spacing w:before="240" w:beforeAutospacing="0" w:after="240" w:afterAutospacing="0"/>
        <w:rPr>
          <w:rFonts w:ascii="Roboto" w:hAnsi="Roboto"/>
          <w:color w:val="202124"/>
        </w:rPr>
      </w:pPr>
      <w:r>
        <w:rPr>
          <w:rFonts w:ascii="Roboto" w:hAnsi="Roboto"/>
          <w:color w:val="202124"/>
        </w:rPr>
        <w:t>Cloud Data Fusion is powered by the open source project </w:t>
      </w:r>
      <w:hyperlink r:id="rId18" w:history="1">
        <w:r>
          <w:rPr>
            <w:rStyle w:val="Hyperlink"/>
            <w:rFonts w:ascii="Roboto" w:eastAsiaTheme="majorEastAsia" w:hAnsi="Roboto"/>
          </w:rPr>
          <w:t>CDAP</w:t>
        </w:r>
      </w:hyperlink>
      <w:r>
        <w:rPr>
          <w:rFonts w:ascii="Roboto" w:hAnsi="Roboto"/>
          <w:color w:val="202124"/>
        </w:rPr>
        <w:t>. </w:t>
      </w:r>
    </w:p>
    <w:p w14:paraId="66B6BAFD" w14:textId="77777777" w:rsidR="00D84B23" w:rsidRDefault="00D84B23"/>
    <w:sectPr w:rsidR="00D84B23">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6AC3" w14:textId="77777777" w:rsidR="001D71C0" w:rsidRDefault="001D71C0" w:rsidP="00F72C48">
      <w:r>
        <w:separator/>
      </w:r>
    </w:p>
  </w:endnote>
  <w:endnote w:type="continuationSeparator" w:id="0">
    <w:p w14:paraId="6BFEFCE9" w14:textId="77777777" w:rsidR="001D71C0" w:rsidRDefault="001D71C0" w:rsidP="00F7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EEFE" w14:textId="77777777" w:rsidR="00F72C48" w:rsidRDefault="00F72C48" w:rsidP="00F72C4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7E2FECD" w14:textId="77777777" w:rsidR="00F72C48" w:rsidRDefault="00F72C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55D1" w14:textId="77777777" w:rsidR="001D71C0" w:rsidRDefault="001D71C0" w:rsidP="00F72C48">
      <w:r>
        <w:separator/>
      </w:r>
    </w:p>
  </w:footnote>
  <w:footnote w:type="continuationSeparator" w:id="0">
    <w:p w14:paraId="05C2ABEB" w14:textId="77777777" w:rsidR="001D71C0" w:rsidRDefault="001D71C0" w:rsidP="00F72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A1523"/>
    <w:multiLevelType w:val="multilevel"/>
    <w:tmpl w:val="4C7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D065D7"/>
    <w:multiLevelType w:val="multilevel"/>
    <w:tmpl w:val="808E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82315">
    <w:abstractNumId w:val="1"/>
  </w:num>
  <w:num w:numId="2" w16cid:durableId="95224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2A"/>
    <w:rsid w:val="000F115A"/>
    <w:rsid w:val="00146DB8"/>
    <w:rsid w:val="001D71C0"/>
    <w:rsid w:val="003C4D90"/>
    <w:rsid w:val="00AA572A"/>
    <w:rsid w:val="00AE49E6"/>
    <w:rsid w:val="00D84B23"/>
    <w:rsid w:val="00F72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C8F1BA"/>
  <w15:chartTrackingRefBased/>
  <w15:docId w15:val="{FC9804EE-F0FE-9D40-BFE8-1C289597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A572A"/>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F72C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2C4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72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A572A"/>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A572A"/>
    <w:rPr>
      <w:color w:val="0000FF"/>
      <w:u w:val="single"/>
    </w:rPr>
  </w:style>
  <w:style w:type="character" w:customStyle="1" w:styleId="Heading3Char">
    <w:name w:val="Heading 3 Char"/>
    <w:basedOn w:val="DefaultParagraphFont"/>
    <w:link w:val="Heading3"/>
    <w:uiPriority w:val="9"/>
    <w:semiHidden/>
    <w:rsid w:val="00F72C48"/>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F72C48"/>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F72C48"/>
  </w:style>
  <w:style w:type="character" w:customStyle="1" w:styleId="cws-body">
    <w:name w:val="cws-body"/>
    <w:basedOn w:val="DefaultParagraphFont"/>
    <w:rsid w:val="00F72C48"/>
  </w:style>
  <w:style w:type="table" w:styleId="TableGrid">
    <w:name w:val="Table Grid"/>
    <w:basedOn w:val="TableNormal"/>
    <w:uiPriority w:val="39"/>
    <w:rsid w:val="00F7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2C48"/>
    <w:pPr>
      <w:tabs>
        <w:tab w:val="center" w:pos="4680"/>
        <w:tab w:val="right" w:pos="9360"/>
      </w:tabs>
    </w:pPr>
  </w:style>
  <w:style w:type="character" w:customStyle="1" w:styleId="HeaderChar">
    <w:name w:val="Header Char"/>
    <w:basedOn w:val="DefaultParagraphFont"/>
    <w:link w:val="Header"/>
    <w:uiPriority w:val="99"/>
    <w:rsid w:val="00F72C48"/>
    <w:rPr>
      <w:lang w:val="en-US"/>
    </w:rPr>
  </w:style>
  <w:style w:type="paragraph" w:styleId="Footer">
    <w:name w:val="footer"/>
    <w:basedOn w:val="Normal"/>
    <w:link w:val="FooterChar"/>
    <w:uiPriority w:val="99"/>
    <w:unhideWhenUsed/>
    <w:rsid w:val="00F72C48"/>
    <w:pPr>
      <w:tabs>
        <w:tab w:val="center" w:pos="4680"/>
        <w:tab w:val="right" w:pos="9360"/>
      </w:tabs>
    </w:pPr>
  </w:style>
  <w:style w:type="character" w:customStyle="1" w:styleId="FooterChar">
    <w:name w:val="Footer Char"/>
    <w:basedOn w:val="DefaultParagraphFont"/>
    <w:link w:val="Footer"/>
    <w:uiPriority w:val="99"/>
    <w:rsid w:val="00F72C48"/>
    <w:rPr>
      <w:lang w:val="en-US"/>
    </w:rPr>
  </w:style>
  <w:style w:type="paragraph" w:customStyle="1" w:styleId="devsite-breadcrumb-item">
    <w:name w:val="devsite-breadcrumb-item"/>
    <w:basedOn w:val="Normal"/>
    <w:rsid w:val="00F72C48"/>
    <w:pPr>
      <w:spacing w:before="100" w:beforeAutospacing="1" w:after="100" w:afterAutospacing="1"/>
    </w:pPr>
    <w:rPr>
      <w:rFonts w:ascii="Times New Roman" w:eastAsia="Times New Roman" w:hAnsi="Times New Roman" w:cs="Times New Roman"/>
      <w:sz w:val="24"/>
      <w:szCs w:val="24"/>
      <w:lang w:val="en-IN"/>
    </w:rPr>
  </w:style>
  <w:style w:type="character" w:customStyle="1" w:styleId="material-icons">
    <w:name w:val="material-icons"/>
    <w:basedOn w:val="DefaultParagraphFont"/>
    <w:rsid w:val="00F7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9332">
      <w:bodyDiv w:val="1"/>
      <w:marLeft w:val="0"/>
      <w:marRight w:val="0"/>
      <w:marTop w:val="0"/>
      <w:marBottom w:val="0"/>
      <w:divBdr>
        <w:top w:val="none" w:sz="0" w:space="0" w:color="auto"/>
        <w:left w:val="none" w:sz="0" w:space="0" w:color="auto"/>
        <w:bottom w:val="none" w:sz="0" w:space="0" w:color="auto"/>
        <w:right w:val="none" w:sz="0" w:space="0" w:color="auto"/>
      </w:divBdr>
      <w:divsChild>
        <w:div w:id="627777583">
          <w:marLeft w:val="0"/>
          <w:marRight w:val="0"/>
          <w:marTop w:val="0"/>
          <w:marBottom w:val="0"/>
          <w:divBdr>
            <w:top w:val="none" w:sz="0" w:space="0" w:color="auto"/>
            <w:left w:val="none" w:sz="0" w:space="0" w:color="auto"/>
            <w:bottom w:val="none" w:sz="0" w:space="0" w:color="auto"/>
            <w:right w:val="none" w:sz="0" w:space="0" w:color="auto"/>
          </w:divBdr>
        </w:div>
        <w:div w:id="1284728659">
          <w:marLeft w:val="0"/>
          <w:marRight w:val="0"/>
          <w:marTop w:val="240"/>
          <w:marBottom w:val="0"/>
          <w:divBdr>
            <w:top w:val="none" w:sz="0" w:space="0" w:color="auto"/>
            <w:left w:val="none" w:sz="0" w:space="0" w:color="auto"/>
            <w:bottom w:val="none" w:sz="0" w:space="0" w:color="auto"/>
            <w:right w:val="none" w:sz="0" w:space="0" w:color="auto"/>
          </w:divBdr>
          <w:divsChild>
            <w:div w:id="1064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866">
      <w:bodyDiv w:val="1"/>
      <w:marLeft w:val="0"/>
      <w:marRight w:val="0"/>
      <w:marTop w:val="0"/>
      <w:marBottom w:val="0"/>
      <w:divBdr>
        <w:top w:val="none" w:sz="0" w:space="0" w:color="auto"/>
        <w:left w:val="none" w:sz="0" w:space="0" w:color="auto"/>
        <w:bottom w:val="none" w:sz="0" w:space="0" w:color="auto"/>
        <w:right w:val="none" w:sz="0" w:space="0" w:color="auto"/>
      </w:divBdr>
      <w:divsChild>
        <w:div w:id="1201480615">
          <w:marLeft w:val="0"/>
          <w:marRight w:val="0"/>
          <w:marTop w:val="0"/>
          <w:marBottom w:val="540"/>
          <w:divBdr>
            <w:top w:val="none" w:sz="0" w:space="0" w:color="auto"/>
            <w:left w:val="none" w:sz="0" w:space="0" w:color="auto"/>
            <w:bottom w:val="none" w:sz="0" w:space="0" w:color="auto"/>
            <w:right w:val="none" w:sz="0" w:space="0" w:color="auto"/>
          </w:divBdr>
        </w:div>
        <w:div w:id="1706982650">
          <w:marLeft w:val="0"/>
          <w:marRight w:val="0"/>
          <w:marTop w:val="0"/>
          <w:marBottom w:val="0"/>
          <w:divBdr>
            <w:top w:val="none" w:sz="0" w:space="0" w:color="auto"/>
            <w:left w:val="none" w:sz="0" w:space="0" w:color="auto"/>
            <w:bottom w:val="none" w:sz="0" w:space="0" w:color="auto"/>
            <w:right w:val="none" w:sz="0" w:space="0" w:color="auto"/>
          </w:divBdr>
          <w:divsChild>
            <w:div w:id="18366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858">
      <w:bodyDiv w:val="1"/>
      <w:marLeft w:val="0"/>
      <w:marRight w:val="0"/>
      <w:marTop w:val="0"/>
      <w:marBottom w:val="0"/>
      <w:divBdr>
        <w:top w:val="none" w:sz="0" w:space="0" w:color="auto"/>
        <w:left w:val="none" w:sz="0" w:space="0" w:color="auto"/>
        <w:bottom w:val="none" w:sz="0" w:space="0" w:color="auto"/>
        <w:right w:val="none" w:sz="0" w:space="0" w:color="auto"/>
      </w:divBdr>
      <w:divsChild>
        <w:div w:id="2041541986">
          <w:marLeft w:val="0"/>
          <w:marRight w:val="0"/>
          <w:marTop w:val="240"/>
          <w:marBottom w:val="0"/>
          <w:divBdr>
            <w:top w:val="none" w:sz="0" w:space="0" w:color="auto"/>
            <w:left w:val="none" w:sz="0" w:space="0" w:color="auto"/>
            <w:bottom w:val="none" w:sz="0" w:space="0" w:color="auto"/>
            <w:right w:val="none" w:sz="0" w:space="0" w:color="auto"/>
          </w:divBdr>
        </w:div>
      </w:divsChild>
    </w:div>
    <w:div w:id="1293563401">
      <w:bodyDiv w:val="1"/>
      <w:marLeft w:val="0"/>
      <w:marRight w:val="0"/>
      <w:marTop w:val="0"/>
      <w:marBottom w:val="0"/>
      <w:divBdr>
        <w:top w:val="none" w:sz="0" w:space="0" w:color="auto"/>
        <w:left w:val="none" w:sz="0" w:space="0" w:color="auto"/>
        <w:bottom w:val="none" w:sz="0" w:space="0" w:color="auto"/>
        <w:right w:val="none" w:sz="0" w:space="0" w:color="auto"/>
      </w:divBdr>
      <w:divsChild>
        <w:div w:id="1149326464">
          <w:marLeft w:val="0"/>
          <w:marRight w:val="0"/>
          <w:marTop w:val="0"/>
          <w:marBottom w:val="0"/>
          <w:divBdr>
            <w:top w:val="none" w:sz="0" w:space="0" w:color="auto"/>
            <w:left w:val="none" w:sz="0" w:space="0" w:color="auto"/>
            <w:bottom w:val="none" w:sz="0" w:space="0" w:color="auto"/>
            <w:right w:val="none" w:sz="0" w:space="0" w:color="auto"/>
          </w:divBdr>
          <w:divsChild>
            <w:div w:id="280649746">
              <w:marLeft w:val="0"/>
              <w:marRight w:val="0"/>
              <w:marTop w:val="0"/>
              <w:marBottom w:val="0"/>
              <w:divBdr>
                <w:top w:val="single" w:sz="6" w:space="27" w:color="DBDCE0"/>
                <w:left w:val="single" w:sz="6" w:space="27" w:color="DBDCE0"/>
                <w:bottom w:val="single" w:sz="6" w:space="27" w:color="DBDCE0"/>
                <w:right w:val="single" w:sz="6" w:space="27" w:color="DBDCE0"/>
              </w:divBdr>
              <w:divsChild>
                <w:div w:id="1038435940">
                  <w:marLeft w:val="0"/>
                  <w:marRight w:val="0"/>
                  <w:marTop w:val="0"/>
                  <w:marBottom w:val="0"/>
                  <w:divBdr>
                    <w:top w:val="none" w:sz="0" w:space="0" w:color="auto"/>
                    <w:left w:val="none" w:sz="0" w:space="0" w:color="auto"/>
                    <w:bottom w:val="none" w:sz="0" w:space="0" w:color="auto"/>
                    <w:right w:val="none" w:sz="0" w:space="0" w:color="auto"/>
                  </w:divBdr>
                  <w:divsChild>
                    <w:div w:id="142698865">
                      <w:marLeft w:val="0"/>
                      <w:marRight w:val="0"/>
                      <w:marTop w:val="0"/>
                      <w:marBottom w:val="0"/>
                      <w:divBdr>
                        <w:top w:val="none" w:sz="0" w:space="0" w:color="auto"/>
                        <w:left w:val="none" w:sz="0" w:space="0" w:color="auto"/>
                        <w:bottom w:val="none" w:sz="0" w:space="0" w:color="auto"/>
                        <w:right w:val="none" w:sz="0" w:space="0" w:color="auto"/>
                      </w:divBdr>
                      <w:divsChild>
                        <w:div w:id="564806140">
                          <w:marLeft w:val="0"/>
                          <w:marRight w:val="0"/>
                          <w:marTop w:val="0"/>
                          <w:marBottom w:val="0"/>
                          <w:divBdr>
                            <w:top w:val="none" w:sz="0" w:space="0" w:color="auto"/>
                            <w:left w:val="none" w:sz="0" w:space="0" w:color="auto"/>
                            <w:bottom w:val="none" w:sz="0" w:space="0" w:color="auto"/>
                            <w:right w:val="none" w:sz="0" w:space="0" w:color="auto"/>
                          </w:divBdr>
                          <w:divsChild>
                            <w:div w:id="2764483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70534897">
                  <w:marLeft w:val="0"/>
                  <w:marRight w:val="0"/>
                  <w:marTop w:val="0"/>
                  <w:marBottom w:val="0"/>
                  <w:divBdr>
                    <w:top w:val="none" w:sz="0" w:space="0" w:color="auto"/>
                    <w:left w:val="none" w:sz="0" w:space="0" w:color="auto"/>
                    <w:bottom w:val="none" w:sz="0" w:space="0" w:color="auto"/>
                    <w:right w:val="none" w:sz="0" w:space="0" w:color="auto"/>
                  </w:divBdr>
                  <w:divsChild>
                    <w:div w:id="1428041249">
                      <w:marLeft w:val="0"/>
                      <w:marRight w:val="0"/>
                      <w:marTop w:val="0"/>
                      <w:marBottom w:val="0"/>
                      <w:divBdr>
                        <w:top w:val="none" w:sz="0" w:space="0" w:color="auto"/>
                        <w:left w:val="none" w:sz="0" w:space="0" w:color="auto"/>
                        <w:bottom w:val="none" w:sz="0" w:space="0" w:color="auto"/>
                        <w:right w:val="none" w:sz="0" w:space="0" w:color="auto"/>
                      </w:divBdr>
                      <w:divsChild>
                        <w:div w:id="1769276959">
                          <w:marLeft w:val="0"/>
                          <w:marRight w:val="0"/>
                          <w:marTop w:val="0"/>
                          <w:marBottom w:val="0"/>
                          <w:divBdr>
                            <w:top w:val="none" w:sz="0" w:space="0" w:color="auto"/>
                            <w:left w:val="none" w:sz="0" w:space="0" w:color="auto"/>
                            <w:bottom w:val="none" w:sz="0" w:space="0" w:color="auto"/>
                            <w:right w:val="none" w:sz="0" w:space="0" w:color="auto"/>
                          </w:divBdr>
                          <w:divsChild>
                            <w:div w:id="1271678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52201616">
                  <w:marLeft w:val="0"/>
                  <w:marRight w:val="0"/>
                  <w:marTop w:val="0"/>
                  <w:marBottom w:val="0"/>
                  <w:divBdr>
                    <w:top w:val="none" w:sz="0" w:space="0" w:color="auto"/>
                    <w:left w:val="none" w:sz="0" w:space="0" w:color="auto"/>
                    <w:bottom w:val="none" w:sz="0" w:space="0" w:color="auto"/>
                    <w:right w:val="none" w:sz="0" w:space="0" w:color="auto"/>
                  </w:divBdr>
                  <w:divsChild>
                    <w:div w:id="2100171080">
                      <w:marLeft w:val="0"/>
                      <w:marRight w:val="0"/>
                      <w:marTop w:val="0"/>
                      <w:marBottom w:val="0"/>
                      <w:divBdr>
                        <w:top w:val="none" w:sz="0" w:space="0" w:color="auto"/>
                        <w:left w:val="none" w:sz="0" w:space="0" w:color="auto"/>
                        <w:bottom w:val="none" w:sz="0" w:space="0" w:color="auto"/>
                        <w:right w:val="none" w:sz="0" w:space="0" w:color="auto"/>
                      </w:divBdr>
                      <w:divsChild>
                        <w:div w:id="1931157206">
                          <w:marLeft w:val="0"/>
                          <w:marRight w:val="0"/>
                          <w:marTop w:val="0"/>
                          <w:marBottom w:val="0"/>
                          <w:divBdr>
                            <w:top w:val="none" w:sz="0" w:space="0" w:color="auto"/>
                            <w:left w:val="none" w:sz="0" w:space="0" w:color="auto"/>
                            <w:bottom w:val="none" w:sz="0" w:space="0" w:color="auto"/>
                            <w:right w:val="none" w:sz="0" w:space="0" w:color="auto"/>
                          </w:divBdr>
                          <w:divsChild>
                            <w:div w:id="4412197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28493">
      <w:bodyDiv w:val="1"/>
      <w:marLeft w:val="0"/>
      <w:marRight w:val="0"/>
      <w:marTop w:val="0"/>
      <w:marBottom w:val="0"/>
      <w:divBdr>
        <w:top w:val="none" w:sz="0" w:space="0" w:color="auto"/>
        <w:left w:val="none" w:sz="0" w:space="0" w:color="auto"/>
        <w:bottom w:val="none" w:sz="0" w:space="0" w:color="auto"/>
        <w:right w:val="none" w:sz="0" w:space="0" w:color="auto"/>
      </w:divBdr>
    </w:div>
    <w:div w:id="1976830199">
      <w:bodyDiv w:val="1"/>
      <w:marLeft w:val="0"/>
      <w:marRight w:val="0"/>
      <w:marTop w:val="0"/>
      <w:marBottom w:val="0"/>
      <w:divBdr>
        <w:top w:val="none" w:sz="0" w:space="0" w:color="auto"/>
        <w:left w:val="none" w:sz="0" w:space="0" w:color="auto"/>
        <w:bottom w:val="none" w:sz="0" w:space="0" w:color="auto"/>
        <w:right w:val="none" w:sz="0" w:space="0" w:color="auto"/>
      </w:divBdr>
      <w:divsChild>
        <w:div w:id="1083336085">
          <w:marLeft w:val="0"/>
          <w:marRight w:val="0"/>
          <w:marTop w:val="0"/>
          <w:marBottom w:val="0"/>
          <w:divBdr>
            <w:top w:val="none" w:sz="0" w:space="0" w:color="auto"/>
            <w:left w:val="none" w:sz="0" w:space="0" w:color="auto"/>
            <w:bottom w:val="none" w:sz="0" w:space="0" w:color="auto"/>
            <w:right w:val="none" w:sz="0" w:space="0" w:color="auto"/>
          </w:divBdr>
          <w:divsChild>
            <w:div w:id="1164973533">
              <w:marLeft w:val="0"/>
              <w:marRight w:val="0"/>
              <w:marTop w:val="0"/>
              <w:marBottom w:val="540"/>
              <w:divBdr>
                <w:top w:val="none" w:sz="0" w:space="0" w:color="auto"/>
                <w:left w:val="none" w:sz="0" w:space="0" w:color="auto"/>
                <w:bottom w:val="none" w:sz="0" w:space="0" w:color="auto"/>
                <w:right w:val="none" w:sz="0" w:space="0" w:color="auto"/>
              </w:divBdr>
              <w:divsChild>
                <w:div w:id="1116605643">
                  <w:marLeft w:val="0"/>
                  <w:marRight w:val="0"/>
                  <w:marTop w:val="0"/>
                  <w:marBottom w:val="0"/>
                  <w:divBdr>
                    <w:top w:val="none" w:sz="0" w:space="0" w:color="auto"/>
                    <w:left w:val="none" w:sz="0" w:space="0" w:color="auto"/>
                    <w:bottom w:val="none" w:sz="0" w:space="0" w:color="auto"/>
                    <w:right w:val="none" w:sz="0" w:space="0" w:color="auto"/>
                  </w:divBdr>
                  <w:divsChild>
                    <w:div w:id="961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4426">
          <w:marLeft w:val="0"/>
          <w:marRight w:val="0"/>
          <w:marTop w:val="0"/>
          <w:marBottom w:val="0"/>
          <w:divBdr>
            <w:top w:val="none" w:sz="0" w:space="0" w:color="auto"/>
            <w:left w:val="none" w:sz="0" w:space="0" w:color="auto"/>
            <w:bottom w:val="none" w:sz="0" w:space="0" w:color="auto"/>
            <w:right w:val="none" w:sz="0" w:space="0" w:color="auto"/>
          </w:divBdr>
          <w:divsChild>
            <w:div w:id="685837164">
              <w:marLeft w:val="0"/>
              <w:marRight w:val="0"/>
              <w:marTop w:val="0"/>
              <w:marBottom w:val="0"/>
              <w:divBdr>
                <w:top w:val="none" w:sz="0" w:space="0" w:color="auto"/>
                <w:left w:val="none" w:sz="0" w:space="0" w:color="auto"/>
                <w:bottom w:val="none" w:sz="0" w:space="0" w:color="auto"/>
                <w:right w:val="none" w:sz="0" w:space="0" w:color="auto"/>
              </w:divBdr>
              <w:divsChild>
                <w:div w:id="208999019">
                  <w:marLeft w:val="0"/>
                  <w:marRight w:val="0"/>
                  <w:marTop w:val="0"/>
                  <w:marBottom w:val="540"/>
                  <w:divBdr>
                    <w:top w:val="none" w:sz="0" w:space="0" w:color="auto"/>
                    <w:left w:val="none" w:sz="0" w:space="0" w:color="auto"/>
                    <w:bottom w:val="none" w:sz="0" w:space="0" w:color="auto"/>
                    <w:right w:val="none" w:sz="0" w:space="0" w:color="auto"/>
                  </w:divBdr>
                  <w:divsChild>
                    <w:div w:id="647982692">
                      <w:marLeft w:val="0"/>
                      <w:marRight w:val="0"/>
                      <w:marTop w:val="0"/>
                      <w:marBottom w:val="0"/>
                      <w:divBdr>
                        <w:top w:val="none" w:sz="0" w:space="0" w:color="auto"/>
                        <w:left w:val="none" w:sz="0" w:space="0" w:color="auto"/>
                        <w:bottom w:val="none" w:sz="0" w:space="0" w:color="auto"/>
                        <w:right w:val="none" w:sz="0" w:space="0" w:color="auto"/>
                      </w:divBdr>
                      <w:divsChild>
                        <w:div w:id="2002124918">
                          <w:marLeft w:val="0"/>
                          <w:marRight w:val="0"/>
                          <w:marTop w:val="0"/>
                          <w:marBottom w:val="0"/>
                          <w:divBdr>
                            <w:top w:val="none" w:sz="0" w:space="0" w:color="auto"/>
                            <w:left w:val="none" w:sz="0" w:space="0" w:color="auto"/>
                            <w:bottom w:val="none" w:sz="0" w:space="0" w:color="auto"/>
                            <w:right w:val="none" w:sz="0" w:space="0" w:color="auto"/>
                          </w:divBdr>
                          <w:divsChild>
                            <w:div w:id="10457613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99734416">
                  <w:marLeft w:val="0"/>
                  <w:marRight w:val="0"/>
                  <w:marTop w:val="0"/>
                  <w:marBottom w:val="540"/>
                  <w:divBdr>
                    <w:top w:val="none" w:sz="0" w:space="0" w:color="auto"/>
                    <w:left w:val="none" w:sz="0" w:space="0" w:color="auto"/>
                    <w:bottom w:val="none" w:sz="0" w:space="0" w:color="auto"/>
                    <w:right w:val="none" w:sz="0" w:space="0" w:color="auto"/>
                  </w:divBdr>
                  <w:divsChild>
                    <w:div w:id="1590381837">
                      <w:marLeft w:val="0"/>
                      <w:marRight w:val="0"/>
                      <w:marTop w:val="0"/>
                      <w:marBottom w:val="0"/>
                      <w:divBdr>
                        <w:top w:val="none" w:sz="0" w:space="0" w:color="auto"/>
                        <w:left w:val="none" w:sz="0" w:space="0" w:color="auto"/>
                        <w:bottom w:val="none" w:sz="0" w:space="0" w:color="auto"/>
                        <w:right w:val="none" w:sz="0" w:space="0" w:color="auto"/>
                      </w:divBdr>
                      <w:divsChild>
                        <w:div w:id="1299721518">
                          <w:marLeft w:val="0"/>
                          <w:marRight w:val="0"/>
                          <w:marTop w:val="0"/>
                          <w:marBottom w:val="0"/>
                          <w:divBdr>
                            <w:top w:val="none" w:sz="0" w:space="0" w:color="auto"/>
                            <w:left w:val="none" w:sz="0" w:space="0" w:color="auto"/>
                            <w:bottom w:val="none" w:sz="0" w:space="0" w:color="auto"/>
                            <w:right w:val="none" w:sz="0" w:space="0" w:color="auto"/>
                          </w:divBdr>
                          <w:divsChild>
                            <w:div w:id="5529296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52451055">
                  <w:marLeft w:val="0"/>
                  <w:marRight w:val="0"/>
                  <w:marTop w:val="0"/>
                  <w:marBottom w:val="540"/>
                  <w:divBdr>
                    <w:top w:val="none" w:sz="0" w:space="0" w:color="auto"/>
                    <w:left w:val="none" w:sz="0" w:space="0" w:color="auto"/>
                    <w:bottom w:val="none" w:sz="0" w:space="0" w:color="auto"/>
                    <w:right w:val="none" w:sz="0" w:space="0" w:color="auto"/>
                  </w:divBdr>
                  <w:divsChild>
                    <w:div w:id="1540124691">
                      <w:marLeft w:val="0"/>
                      <w:marRight w:val="0"/>
                      <w:marTop w:val="0"/>
                      <w:marBottom w:val="0"/>
                      <w:divBdr>
                        <w:top w:val="none" w:sz="0" w:space="0" w:color="auto"/>
                        <w:left w:val="none" w:sz="0" w:space="0" w:color="auto"/>
                        <w:bottom w:val="none" w:sz="0" w:space="0" w:color="auto"/>
                        <w:right w:val="none" w:sz="0" w:space="0" w:color="auto"/>
                      </w:divBdr>
                      <w:divsChild>
                        <w:div w:id="475028098">
                          <w:marLeft w:val="0"/>
                          <w:marRight w:val="0"/>
                          <w:marTop w:val="0"/>
                          <w:marBottom w:val="0"/>
                          <w:divBdr>
                            <w:top w:val="none" w:sz="0" w:space="0" w:color="auto"/>
                            <w:left w:val="none" w:sz="0" w:space="0" w:color="auto"/>
                            <w:bottom w:val="none" w:sz="0" w:space="0" w:color="auto"/>
                            <w:right w:val="none" w:sz="0" w:space="0" w:color="auto"/>
                          </w:divBdr>
                          <w:divsChild>
                            <w:div w:id="12330831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17664">
      <w:bodyDiv w:val="1"/>
      <w:marLeft w:val="0"/>
      <w:marRight w:val="0"/>
      <w:marTop w:val="0"/>
      <w:marBottom w:val="0"/>
      <w:divBdr>
        <w:top w:val="none" w:sz="0" w:space="0" w:color="auto"/>
        <w:left w:val="none" w:sz="0" w:space="0" w:color="auto"/>
        <w:bottom w:val="none" w:sz="0" w:space="0" w:color="auto"/>
        <w:right w:val="none" w:sz="0" w:space="0" w:color="auto"/>
      </w:divBdr>
      <w:divsChild>
        <w:div w:id="1010523155">
          <w:marLeft w:val="0"/>
          <w:marRight w:val="0"/>
          <w:marTop w:val="0"/>
          <w:marBottom w:val="0"/>
          <w:divBdr>
            <w:top w:val="none" w:sz="0" w:space="0" w:color="auto"/>
            <w:left w:val="none" w:sz="0" w:space="0" w:color="auto"/>
            <w:bottom w:val="none" w:sz="0" w:space="0" w:color="auto"/>
            <w:right w:val="none" w:sz="0" w:space="0" w:color="auto"/>
          </w:divBdr>
          <w:divsChild>
            <w:div w:id="519320501">
              <w:marLeft w:val="0"/>
              <w:marRight w:val="0"/>
              <w:marTop w:val="0"/>
              <w:marBottom w:val="0"/>
              <w:divBdr>
                <w:top w:val="none" w:sz="0" w:space="0" w:color="auto"/>
                <w:left w:val="none" w:sz="0" w:space="0" w:color="auto"/>
                <w:bottom w:val="none" w:sz="0" w:space="0" w:color="auto"/>
                <w:right w:val="none" w:sz="0" w:space="0" w:color="auto"/>
              </w:divBdr>
              <w:divsChild>
                <w:div w:id="918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587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ap.io/" TargetMode="External"/><Relationship Id="rId13" Type="http://schemas.openxmlformats.org/officeDocument/2006/relationships/hyperlink" Target="https://cloud.google.com/iam" TargetMode="External"/><Relationship Id="rId18" Type="http://schemas.openxmlformats.org/officeDocument/2006/relationships/hyperlink" Target="https://cdap.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data-fusion/plugins" TargetMode="External"/><Relationship Id="rId12" Type="http://schemas.openxmlformats.org/officeDocument/2006/relationships/hyperlink" Target="https://cloud.google.com/data-fusion/docs/concepts/replication" TargetMode="External"/><Relationship Id="rId17" Type="http://schemas.openxmlformats.org/officeDocument/2006/relationships/hyperlink" Target="https://cloud.google.com/data-fusion/plugins" TargetMode="External"/><Relationship Id="rId2" Type="http://schemas.openxmlformats.org/officeDocument/2006/relationships/styles" Target="styles.xml"/><Relationship Id="rId16" Type="http://schemas.openxmlformats.org/officeDocument/2006/relationships/hyperlink" Target="https://cloud.google.com/data-fusion/docs/how-to/customer-managed-encryption-key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data-fusion/plugins" TargetMode="External"/><Relationship Id="rId5" Type="http://schemas.openxmlformats.org/officeDocument/2006/relationships/footnotes" Target="footnotes.xml"/><Relationship Id="rId15" Type="http://schemas.openxmlformats.org/officeDocument/2006/relationships/hyperlink" Target="https://cloud.google.com/vpc-service-controls" TargetMode="External"/><Relationship Id="rId10" Type="http://schemas.openxmlformats.org/officeDocument/2006/relationships/hyperlink" Target="https://cloud.google.com/spann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loud.google.com/storage" TargetMode="External"/><Relationship Id="rId14" Type="http://schemas.openxmlformats.org/officeDocument/2006/relationships/hyperlink" Target="https://cloud.google.com/data-fusion/docs/how-to/create-private-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2022-10-04T23:47:00Z</dcterms:created>
  <dcterms:modified xsi:type="dcterms:W3CDTF">2022-10-04T23:58:00Z</dcterms:modified>
</cp:coreProperties>
</file>