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12D0" w14:textId="77777777" w:rsidR="00BB370F" w:rsidRPr="00BB370F" w:rsidRDefault="00BB370F" w:rsidP="00BB370F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BB370F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Cloud Monitoring</w:t>
      </w:r>
    </w:p>
    <w:p w14:paraId="2B6861B2" w14:textId="77777777" w:rsidR="00BB370F" w:rsidRPr="00BB370F" w:rsidRDefault="00BB370F" w:rsidP="00BB370F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Gain visibility into the performance, availability, and health of your applications and infrastructure.</w:t>
      </w:r>
    </w:p>
    <w:p w14:paraId="049D7449" w14:textId="5E78C2FA" w:rsidR="00AE49E6" w:rsidRDefault="00AE49E6"/>
    <w:p w14:paraId="01816867" w14:textId="77777777" w:rsidR="00BB370F" w:rsidRPr="00BB370F" w:rsidRDefault="00BB370F" w:rsidP="00BB370F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Get started now with: </w:t>
      </w:r>
      <w:hyperlink r:id="rId7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dashboards</w:t>
        </w:r>
      </w:hyperlink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, the </w:t>
      </w:r>
      <w:hyperlink r:id="rId8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Ops Agent for VMs</w:t>
        </w:r>
      </w:hyperlink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, and </w:t>
      </w:r>
      <w:hyperlink r:id="rId9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Managed Service for Prometheus</w:t>
        </w:r>
      </w:hyperlink>
    </w:p>
    <w:p w14:paraId="5C8EF17C" w14:textId="77777777" w:rsidR="00BB370F" w:rsidRPr="00BB370F" w:rsidRDefault="00BB370F" w:rsidP="00BB370F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Built on the same backend used by Google that holds over </w:t>
      </w:r>
      <w:hyperlink r:id="rId10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65 quadrillion points on disk</w:t>
        </w:r>
      </w:hyperlink>
    </w:p>
    <w:p w14:paraId="72D3197B" w14:textId="77777777" w:rsidR="00BB370F" w:rsidRPr="00BB370F" w:rsidRDefault="00BB370F" w:rsidP="00BB370F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Learn how Cloud Monitoring helps </w:t>
      </w:r>
      <w:hyperlink r:id="rId11" w:anchor="section-2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customers</w:t>
        </w:r>
      </w:hyperlink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 implement SRE principles to improve their businesses</w:t>
      </w:r>
    </w:p>
    <w:p w14:paraId="27857D85" w14:textId="77777777" w:rsidR="00BB370F" w:rsidRPr="00BB370F" w:rsidRDefault="00BB370F" w:rsidP="00BB370F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Stay up-to-date with the </w:t>
      </w:r>
      <w:hyperlink r:id="rId12" w:anchor="section-3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latest blogs and resources</w:t>
        </w:r>
      </w:hyperlink>
    </w:p>
    <w:p w14:paraId="472D1847" w14:textId="77777777" w:rsidR="00BB370F" w:rsidRPr="00BB370F" w:rsidRDefault="00BB370F" w:rsidP="00BB370F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Learn about </w:t>
      </w:r>
      <w:hyperlink r:id="rId13" w:history="1">
        <w:r w:rsidRPr="00BB370F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Managed Service for Prometheus</w:t>
        </w:r>
      </w:hyperlink>
      <w:r w:rsidRPr="00BB370F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, our fully managed storage and query service</w:t>
      </w:r>
    </w:p>
    <w:p w14:paraId="59DCDE70" w14:textId="25766E11" w:rsidR="00BB370F" w:rsidRDefault="00BB370F"/>
    <w:p w14:paraId="64FDFE34" w14:textId="77777777" w:rsidR="00BB370F" w:rsidRPr="00BB370F" w:rsidRDefault="00BB370F" w:rsidP="00BB370F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B370F">
        <w:rPr>
          <w:rFonts w:ascii="Roboto" w:eastAsia="Times New Roman" w:hAnsi="Roboto" w:cs="Times New Roman"/>
          <w:b/>
          <w:bCs/>
          <w:color w:val="202124"/>
          <w:sz w:val="24"/>
          <w:szCs w:val="24"/>
          <w:shd w:val="clear" w:color="auto" w:fill="FFFFFF"/>
          <w:lang w:val="en-IN"/>
        </w:rPr>
        <w:t>Cloud Monitoring</w:t>
      </w:r>
      <w:r w:rsidRPr="00BB370F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> collects metrics, events, and metadata from Google Cloud, Amazon Web Services (AWS), hosted uptime probes, and application instrumentation. Using the </w:t>
      </w:r>
      <w:proofErr w:type="spellStart"/>
      <w:r w:rsidRPr="00BB370F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begin"/>
      </w:r>
      <w:r w:rsidRPr="00BB370F">
        <w:rPr>
          <w:rFonts w:ascii="Times New Roman" w:eastAsia="Times New Roman" w:hAnsi="Times New Roman" w:cs="Times New Roman"/>
          <w:sz w:val="24"/>
          <w:szCs w:val="24"/>
          <w:lang w:val="en-IN"/>
        </w:rPr>
        <w:instrText xml:space="preserve"> HYPERLINK "https://bluemedora.com/products/bindplane/bindplane-for-stackdriver/" </w:instrText>
      </w:r>
      <w:r w:rsidRPr="00BB370F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separate"/>
      </w:r>
      <w:r w:rsidRPr="00BB370F">
        <w:rPr>
          <w:rFonts w:ascii="Roboto" w:eastAsia="Times New Roman" w:hAnsi="Roboto" w:cs="Times New Roman"/>
          <w:color w:val="0000FF"/>
          <w:sz w:val="24"/>
          <w:szCs w:val="24"/>
          <w:u w:val="single"/>
          <w:shd w:val="clear" w:color="auto" w:fill="FFFFFF"/>
          <w:lang w:val="en-IN"/>
        </w:rPr>
        <w:t>BindPlane</w:t>
      </w:r>
      <w:proofErr w:type="spellEnd"/>
      <w:r w:rsidRPr="00BB370F">
        <w:rPr>
          <w:rFonts w:ascii="Roboto" w:eastAsia="Times New Roman" w:hAnsi="Roboto" w:cs="Times New Roman"/>
          <w:color w:val="0000FF"/>
          <w:sz w:val="24"/>
          <w:szCs w:val="24"/>
          <w:u w:val="single"/>
          <w:shd w:val="clear" w:color="auto" w:fill="FFFFFF"/>
          <w:lang w:val="en-IN"/>
        </w:rPr>
        <w:t xml:space="preserve"> service</w:t>
      </w:r>
      <w:r w:rsidRPr="00BB370F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end"/>
      </w:r>
      <w:r w:rsidRPr="00BB370F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 xml:space="preserve">, you can also collect this data from over 150 common application components, on-premise systems, and hybrid cloud systems. Google Cloud's operations suite ingests that data and generates insights via dashboards, charts, and alerts. </w:t>
      </w:r>
      <w:proofErr w:type="spellStart"/>
      <w:r w:rsidRPr="00BB370F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>BindPlane</w:t>
      </w:r>
      <w:proofErr w:type="spellEnd"/>
      <w:r w:rsidRPr="00BB370F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 xml:space="preserve"> is included with your Google Cloud project at no additional cost.</w:t>
      </w:r>
      <w:r w:rsidRPr="00BB370F">
        <w:rPr>
          <w:rFonts w:ascii="Roboto" w:eastAsia="Times New Roman" w:hAnsi="Roboto" w:cs="Times New Roman"/>
          <w:color w:val="202124"/>
          <w:sz w:val="24"/>
          <w:szCs w:val="24"/>
          <w:lang w:val="en-IN"/>
        </w:rPr>
        <w:br/>
      </w:r>
      <w:r w:rsidRPr="00BB370F">
        <w:rPr>
          <w:rFonts w:ascii="Roboto" w:eastAsia="Times New Roman" w:hAnsi="Roboto" w:cs="Times New Roman"/>
          <w:color w:val="202124"/>
          <w:sz w:val="24"/>
          <w:szCs w:val="24"/>
          <w:lang w:val="en-IN"/>
        </w:rPr>
        <w:br/>
      </w:r>
      <w:r w:rsidRPr="00BB370F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>To collect metrics data from your Compute Engine instances, </w:t>
      </w:r>
      <w:hyperlink r:id="rId14" w:history="1">
        <w:r w:rsidRPr="00BB370F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shd w:val="clear" w:color="auto" w:fill="FFFFFF"/>
            <w:lang w:val="en-IN"/>
          </w:rPr>
          <w:t>create an Agent Policy</w:t>
        </w:r>
      </w:hyperlink>
      <w:r w:rsidRPr="00BB370F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> that automatically installs and maintains the Google Cloud's operations suite agents across your fleet of VMs.</w:t>
      </w:r>
    </w:p>
    <w:p w14:paraId="4B6939D9" w14:textId="033264BE" w:rsidR="00BB370F" w:rsidRDefault="00BB370F"/>
    <w:p w14:paraId="471BB400" w14:textId="77777777" w:rsidR="00BB370F" w:rsidRDefault="00BB370F" w:rsidP="00BB370F">
      <w:pPr>
        <w:pStyle w:val="cws-label"/>
        <w:shd w:val="clear" w:color="auto" w:fill="FFFFFF"/>
        <w:spacing w:before="240" w:beforeAutospacing="0" w:after="240" w:afterAutospacing="0" w:line="240" w:lineRule="atLeast"/>
        <w:rPr>
          <w:rFonts w:ascii="Roboto" w:hAnsi="Roboto"/>
          <w:caps/>
          <w:color w:val="202124"/>
          <w:spacing w:val="8"/>
          <w:sz w:val="17"/>
          <w:szCs w:val="17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BENEFITS</w:t>
      </w:r>
    </w:p>
    <w:p w14:paraId="0CD535D3" w14:textId="77777777" w:rsidR="00BB370F" w:rsidRDefault="00BB370F" w:rsidP="00BB370F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For Google Cloud and other environments</w:t>
      </w:r>
    </w:p>
    <w:p w14:paraId="6A7EA09D" w14:textId="77777777" w:rsidR="00BB370F" w:rsidRDefault="00BB370F" w:rsidP="00BB37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Cloud Monitoring offers automatic out-of-the-box metric collection dashboards for Google Cloud services. It also supports monitoring of hybrid and </w:t>
      </w:r>
      <w:proofErr w:type="spellStart"/>
      <w:r>
        <w:rPr>
          <w:rFonts w:ascii="Roboto" w:hAnsi="Roboto"/>
          <w:color w:val="5F6368"/>
          <w:spacing w:val="2"/>
        </w:rPr>
        <w:t>multicloud</w:t>
      </w:r>
      <w:proofErr w:type="spellEnd"/>
      <w:r>
        <w:rPr>
          <w:rFonts w:ascii="Roboto" w:hAnsi="Roboto"/>
          <w:color w:val="5F6368"/>
          <w:spacing w:val="2"/>
        </w:rPr>
        <w:t xml:space="preserve"> environments.</w:t>
      </w:r>
    </w:p>
    <w:p w14:paraId="16E49362" w14:textId="77777777" w:rsidR="00BB370F" w:rsidRDefault="00BB370F" w:rsidP="00BB370F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Identify trends, prevent issues</w:t>
      </w:r>
    </w:p>
    <w:p w14:paraId="59F6E31A" w14:textId="77777777" w:rsidR="00BB370F" w:rsidRDefault="00BB370F" w:rsidP="00BB37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Metrics, events, and metadata are displayed with rich query language that helps identify issues and uncover patterns. Service-level objectives measure user experience and improve collaboration with developers.</w:t>
      </w:r>
    </w:p>
    <w:p w14:paraId="6F7347BD" w14:textId="77777777" w:rsidR="00BB370F" w:rsidRDefault="00BB370F" w:rsidP="00BB370F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lastRenderedPageBreak/>
        <w:t>Reduce monitoring overhead</w:t>
      </w:r>
    </w:p>
    <w:p w14:paraId="3494220F" w14:textId="77777777" w:rsidR="00BB370F" w:rsidRDefault="00BB370F" w:rsidP="00BB37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One integrated service for metrics, uptime monitoring, dashboards, and alerts reduces time spent navigating between systems. Observability in context makes metrics available within Google Cloud resource pages.</w:t>
      </w:r>
    </w:p>
    <w:p w14:paraId="3F4F78B5" w14:textId="232ED1F4" w:rsidR="00BB370F" w:rsidRDefault="00BB370F"/>
    <w:p w14:paraId="15887C6B" w14:textId="77777777" w:rsidR="00BB370F" w:rsidRDefault="00BB370F" w:rsidP="00BB370F">
      <w:pPr>
        <w:pStyle w:val="Heading2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3019D2C3" w14:textId="77777777" w:rsidR="00BB370F" w:rsidRDefault="00BB370F" w:rsidP="00BB370F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SLO monitoring</w:t>
      </w:r>
    </w:p>
    <w:p w14:paraId="69B75E06" w14:textId="77777777" w:rsidR="00BB370F" w:rsidRDefault="00BB370F" w:rsidP="00BB37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Automatically infer or custom define </w:t>
      </w:r>
      <w:hyperlink r:id="rId15" w:history="1">
        <w:r>
          <w:rPr>
            <w:rStyle w:val="Hyperlink"/>
            <w:rFonts w:ascii="Roboto" w:hAnsi="Roboto"/>
            <w:color w:val="1A73E8"/>
            <w:spacing w:val="2"/>
          </w:rPr>
          <w:t>service-level objectives (SLOs)</w:t>
        </w:r>
      </w:hyperlink>
      <w:r>
        <w:rPr>
          <w:rFonts w:ascii="Roboto" w:hAnsi="Roboto"/>
          <w:color w:val="5F6368"/>
          <w:spacing w:val="2"/>
        </w:rPr>
        <w:t> for applications and get alerted when SLO violations occur. Check out our </w:t>
      </w:r>
      <w:hyperlink r:id="rId16" w:history="1">
        <w:r>
          <w:rPr>
            <w:rStyle w:val="Hyperlink"/>
            <w:rFonts w:ascii="Roboto" w:hAnsi="Roboto"/>
            <w:color w:val="1A73E8"/>
            <w:spacing w:val="2"/>
          </w:rPr>
          <w:t>step-by-step guide</w:t>
        </w:r>
      </w:hyperlink>
      <w:r>
        <w:rPr>
          <w:rFonts w:ascii="Roboto" w:hAnsi="Roboto"/>
          <w:color w:val="5F6368"/>
          <w:spacing w:val="2"/>
        </w:rPr>
        <w:t> to learn how to set SLOs, following SRE best practices.</w:t>
      </w:r>
    </w:p>
    <w:p w14:paraId="3A9F0E8E" w14:textId="77777777" w:rsidR="00BB370F" w:rsidRDefault="00BB370F" w:rsidP="00BB370F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Managed metrics collection for Kubernetes and virtual machines</w:t>
      </w:r>
    </w:p>
    <w:p w14:paraId="02FE3987" w14:textId="77777777" w:rsidR="00BB370F" w:rsidRDefault="00BB370F" w:rsidP="00BB37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Google Cloud’s operations suite offers </w:t>
      </w:r>
      <w:hyperlink r:id="rId17" w:history="1">
        <w:r>
          <w:rPr>
            <w:rStyle w:val="Hyperlink"/>
            <w:rFonts w:ascii="Roboto" w:hAnsi="Roboto"/>
            <w:color w:val="1A73E8"/>
            <w:spacing w:val="2"/>
          </w:rPr>
          <w:t>Managed Service for Prometheus</w:t>
        </w:r>
      </w:hyperlink>
      <w:r>
        <w:rPr>
          <w:rFonts w:ascii="Roboto" w:hAnsi="Roboto"/>
          <w:color w:val="5F6368"/>
          <w:spacing w:val="2"/>
        </w:rPr>
        <w:t> for use with Kubernetes, which features self-deployed and managed collection options to simplify metrics collection, storage, and querying. For VMs, you can use the </w:t>
      </w:r>
      <w:hyperlink r:id="rId18" w:history="1">
        <w:r>
          <w:rPr>
            <w:rStyle w:val="Hyperlink"/>
            <w:rFonts w:ascii="Roboto" w:hAnsi="Roboto"/>
            <w:color w:val="1A73E8"/>
            <w:spacing w:val="2"/>
          </w:rPr>
          <w:t>Ops Agent</w:t>
        </w:r>
      </w:hyperlink>
      <w:r>
        <w:rPr>
          <w:rFonts w:ascii="Roboto" w:hAnsi="Roboto"/>
          <w:color w:val="5F6368"/>
          <w:spacing w:val="2"/>
        </w:rPr>
        <w:t>, which combines logging and metrics collection into a single agent that can be deployed at scale using popular configuration and management tools. </w:t>
      </w:r>
    </w:p>
    <w:p w14:paraId="6DF19EA5" w14:textId="77777777" w:rsidR="00BB370F" w:rsidRDefault="00BB370F" w:rsidP="00BB370F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Google Cloud integration</w:t>
      </w:r>
    </w:p>
    <w:p w14:paraId="69601F65" w14:textId="77777777" w:rsidR="00BB370F" w:rsidRDefault="00BB370F" w:rsidP="00BB37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Discover and monitor all Google Cloud resources and services, with no additional instrumentation, integrated right into the Google Cloud console.</w:t>
      </w:r>
    </w:p>
    <w:p w14:paraId="56394173" w14:textId="1F75A456" w:rsidR="00BB370F" w:rsidRDefault="00BB370F"/>
    <w:p w14:paraId="0D95B832" w14:textId="77777777" w:rsidR="00BB370F" w:rsidRDefault="00BB370F" w:rsidP="00BB370F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All features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BB370F" w14:paraId="5EE84B02" w14:textId="77777777" w:rsidTr="00BB370F">
        <w:tc>
          <w:tcPr>
            <w:tcW w:w="4390" w:type="dxa"/>
            <w:hideMark/>
          </w:tcPr>
          <w:p w14:paraId="43C81DF2" w14:textId="77777777" w:rsidR="00BB370F" w:rsidRDefault="00BB370F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SLO monitoring</w:t>
            </w:r>
          </w:p>
        </w:tc>
        <w:tc>
          <w:tcPr>
            <w:tcW w:w="4536" w:type="dxa"/>
            <w:hideMark/>
          </w:tcPr>
          <w:p w14:paraId="6F31A733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Automatically infer or custom define </w:t>
            </w:r>
            <w:hyperlink r:id="rId1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service-level objectives (SLOs)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for applications and get alerted when SLO violations occur.</w:t>
            </w:r>
          </w:p>
        </w:tc>
      </w:tr>
      <w:tr w:rsidR="00BB370F" w14:paraId="5A5A257A" w14:textId="77777777" w:rsidTr="00BB370F">
        <w:tc>
          <w:tcPr>
            <w:tcW w:w="4390" w:type="dxa"/>
            <w:hideMark/>
          </w:tcPr>
          <w:p w14:paraId="109272C2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Custom metrics</w:t>
            </w:r>
          </w:p>
        </w:tc>
        <w:tc>
          <w:tcPr>
            <w:tcW w:w="4536" w:type="dxa"/>
            <w:hideMark/>
          </w:tcPr>
          <w:p w14:paraId="5D492696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Instrument your application to monitor </w:t>
            </w:r>
            <w:hyperlink r:id="rId20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application and business-level metrics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via Cloud Monitoring.</w:t>
            </w:r>
          </w:p>
        </w:tc>
      </w:tr>
      <w:tr w:rsidR="00BB370F" w14:paraId="575677C6" w14:textId="77777777" w:rsidTr="00BB370F">
        <w:tc>
          <w:tcPr>
            <w:tcW w:w="4390" w:type="dxa"/>
            <w:hideMark/>
          </w:tcPr>
          <w:p w14:paraId="4F5CA31E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Google Cloud Console integration</w:t>
            </w:r>
          </w:p>
        </w:tc>
        <w:tc>
          <w:tcPr>
            <w:tcW w:w="4536" w:type="dxa"/>
            <w:hideMark/>
          </w:tcPr>
          <w:p w14:paraId="2FEAA205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21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Discover and monitor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all Google Cloud resources and services, with no additional configuration, integrated right into the Google Cloud console.</w:t>
            </w:r>
          </w:p>
        </w:tc>
      </w:tr>
      <w:tr w:rsidR="00BB370F" w14:paraId="7E15F908" w14:textId="77777777" w:rsidTr="00BB370F">
        <w:tc>
          <w:tcPr>
            <w:tcW w:w="4390" w:type="dxa"/>
            <w:hideMark/>
          </w:tcPr>
          <w:p w14:paraId="2B3DDE97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Managed Service for Prometheus</w:t>
            </w:r>
          </w:p>
        </w:tc>
        <w:tc>
          <w:tcPr>
            <w:tcW w:w="4536" w:type="dxa"/>
            <w:hideMark/>
          </w:tcPr>
          <w:p w14:paraId="7F9123C3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22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Monitor and alert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on your workloads, using Prometheus, without having to manually manage and operate Prometheus at scale.</w:t>
            </w:r>
          </w:p>
        </w:tc>
      </w:tr>
      <w:tr w:rsidR="00BB370F" w14:paraId="474365E8" w14:textId="77777777" w:rsidTr="00BB370F">
        <w:tc>
          <w:tcPr>
            <w:tcW w:w="4390" w:type="dxa"/>
            <w:hideMark/>
          </w:tcPr>
          <w:p w14:paraId="2BFF983A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Ops Agent</w:t>
            </w:r>
          </w:p>
        </w:tc>
        <w:tc>
          <w:tcPr>
            <w:tcW w:w="4536" w:type="dxa"/>
            <w:hideMark/>
          </w:tcPr>
          <w:p w14:paraId="077FA757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Deploy the </w:t>
            </w:r>
            <w:hyperlink r:id="rId23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Ops Agent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on your Google Cloud VMs to collect detailed metrics and logs from your applications and system. Try the in-console, </w:t>
            </w:r>
            <w:hyperlink r:id="rId24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step-by-step tutorial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experience installing the agent on a live VM. </w:t>
            </w:r>
          </w:p>
        </w:tc>
      </w:tr>
      <w:tr w:rsidR="00BB370F" w14:paraId="49789621" w14:textId="77777777" w:rsidTr="00BB370F">
        <w:tc>
          <w:tcPr>
            <w:tcW w:w="4390" w:type="dxa"/>
            <w:hideMark/>
          </w:tcPr>
          <w:p w14:paraId="7FA9630C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Logging integration</w:t>
            </w:r>
          </w:p>
        </w:tc>
        <w:tc>
          <w:tcPr>
            <w:tcW w:w="4536" w:type="dxa"/>
            <w:hideMark/>
          </w:tcPr>
          <w:p w14:paraId="2049C789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Drill down from dashboards and charts to logs. Create, visualize, and alert on </w:t>
            </w:r>
            <w:hyperlink r:id="rId25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metrics based on log data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</w:t>
            </w:r>
          </w:p>
        </w:tc>
      </w:tr>
      <w:tr w:rsidR="00BB370F" w14:paraId="43887DD1" w14:textId="77777777" w:rsidTr="00BB370F">
        <w:tc>
          <w:tcPr>
            <w:tcW w:w="4390" w:type="dxa"/>
            <w:hideMark/>
          </w:tcPr>
          <w:p w14:paraId="32245525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Dashboards</w:t>
            </w:r>
          </w:p>
        </w:tc>
        <w:tc>
          <w:tcPr>
            <w:tcW w:w="4536" w:type="dxa"/>
            <w:hideMark/>
          </w:tcPr>
          <w:p w14:paraId="36E32829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Get visibility into your cloud resources and services with no configuration. Define </w:t>
            </w:r>
            <w:hyperlink r:id="rId26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custom dashboards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and take advantage of Google’s powerful data visualization tools.</w:t>
            </w:r>
          </w:p>
        </w:tc>
      </w:tr>
      <w:tr w:rsidR="00BB370F" w14:paraId="25957525" w14:textId="77777777" w:rsidTr="00BB370F">
        <w:tc>
          <w:tcPr>
            <w:tcW w:w="4390" w:type="dxa"/>
            <w:hideMark/>
          </w:tcPr>
          <w:p w14:paraId="664F9B5B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Multiple project and group/cluster support</w:t>
            </w:r>
          </w:p>
        </w:tc>
        <w:tc>
          <w:tcPr>
            <w:tcW w:w="4536" w:type="dxa"/>
            <w:hideMark/>
          </w:tcPr>
          <w:p w14:paraId="1707E97F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Create </w:t>
            </w:r>
            <w:hyperlink r:id="rId27" w:anchor="concept-scope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metrics scopes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monitor single or multiple projects together, and create </w:t>
            </w:r>
            <w:hyperlink r:id="rId28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resource groups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define relationships based on resource names, tags, security groups, projects, regions, accounts, and other criteria. Use those relationships to create targeted dashboards and topology-aware alerting policies.</w:t>
            </w:r>
          </w:p>
        </w:tc>
      </w:tr>
      <w:tr w:rsidR="00BB370F" w14:paraId="4AA79E4D" w14:textId="77777777" w:rsidTr="00BB370F">
        <w:tc>
          <w:tcPr>
            <w:tcW w:w="4390" w:type="dxa"/>
            <w:hideMark/>
          </w:tcPr>
          <w:p w14:paraId="71BBD545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Alerting</w:t>
            </w:r>
          </w:p>
        </w:tc>
        <w:tc>
          <w:tcPr>
            <w:tcW w:w="4536" w:type="dxa"/>
            <w:hideMark/>
          </w:tcPr>
          <w:p w14:paraId="4DF1A72F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Configure </w:t>
            </w:r>
            <w:hyperlink r:id="rId2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alerting policies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 to notify you when events occur or particular system or custom metrics violate rules that you define. Use multiple conditions to define </w:t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lastRenderedPageBreak/>
              <w:t>complex alerting rules. Receive notifications via email, SMS, Slack, PagerDuty, and more.</w:t>
            </w:r>
          </w:p>
        </w:tc>
      </w:tr>
      <w:tr w:rsidR="00BB370F" w14:paraId="42FC021A" w14:textId="77777777" w:rsidTr="00BB370F">
        <w:tc>
          <w:tcPr>
            <w:tcW w:w="4390" w:type="dxa"/>
            <w:hideMark/>
          </w:tcPr>
          <w:p w14:paraId="1B70BCDA" w14:textId="77777777" w:rsidR="00BB370F" w:rsidRDefault="00BB370F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Uptime monitoring</w:t>
            </w:r>
          </w:p>
        </w:tc>
        <w:tc>
          <w:tcPr>
            <w:tcW w:w="4536" w:type="dxa"/>
            <w:hideMark/>
          </w:tcPr>
          <w:p w14:paraId="4F09B89B" w14:textId="77777777" w:rsidR="00BB370F" w:rsidRDefault="00BB370F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30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Monitor the availability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of your internet-accessible URLs, VMs, APIs, and load balancers from probes around the globe with uptime checks. Create alerts to be notified proactively if there is an outage.</w:t>
            </w:r>
          </w:p>
        </w:tc>
      </w:tr>
    </w:tbl>
    <w:p w14:paraId="7F2E4072" w14:textId="77777777" w:rsidR="00BB370F" w:rsidRDefault="00BB370F"/>
    <w:sectPr w:rsidR="00BB370F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92A4" w14:textId="77777777" w:rsidR="00EB3888" w:rsidRDefault="00EB3888" w:rsidP="00BB370F">
      <w:r>
        <w:separator/>
      </w:r>
    </w:p>
  </w:endnote>
  <w:endnote w:type="continuationSeparator" w:id="0">
    <w:p w14:paraId="4E859113" w14:textId="77777777" w:rsidR="00EB3888" w:rsidRDefault="00EB3888" w:rsidP="00BB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5699" w14:textId="77777777" w:rsidR="00BB370F" w:rsidRDefault="00BB370F" w:rsidP="00BB370F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1C92277" w14:textId="77777777" w:rsidR="00BB370F" w:rsidRDefault="00BB3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E59D" w14:textId="77777777" w:rsidR="00EB3888" w:rsidRDefault="00EB3888" w:rsidP="00BB370F">
      <w:r>
        <w:separator/>
      </w:r>
    </w:p>
  </w:footnote>
  <w:footnote w:type="continuationSeparator" w:id="0">
    <w:p w14:paraId="483AEF04" w14:textId="77777777" w:rsidR="00EB3888" w:rsidRDefault="00EB3888" w:rsidP="00BB3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E2A9D"/>
    <w:multiLevelType w:val="multilevel"/>
    <w:tmpl w:val="09D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61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0F"/>
    <w:rsid w:val="00AE49E6"/>
    <w:rsid w:val="00BB370F"/>
    <w:rsid w:val="00E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152D"/>
  <w15:chartTrackingRefBased/>
  <w15:docId w15:val="{88A6810E-FCA3-954A-8B40-5D317946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B37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B37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B37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cws-label">
    <w:name w:val="cws-label"/>
    <w:basedOn w:val="Normal"/>
    <w:rsid w:val="00BB37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cws-headline--headline-6">
    <w:name w:val="cws-headline--headline-6"/>
    <w:basedOn w:val="DefaultParagraphFont"/>
    <w:rsid w:val="00BB370F"/>
  </w:style>
  <w:style w:type="character" w:customStyle="1" w:styleId="cws-body">
    <w:name w:val="cws-body"/>
    <w:basedOn w:val="DefaultParagraphFont"/>
    <w:rsid w:val="00BB370F"/>
  </w:style>
  <w:style w:type="table" w:styleId="TableGrid">
    <w:name w:val="Table Grid"/>
    <w:basedOn w:val="TableNormal"/>
    <w:uiPriority w:val="39"/>
    <w:rsid w:val="00BB3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7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7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8518">
              <w:marLeft w:val="0"/>
              <w:marRight w:val="0"/>
              <w:marTop w:val="0"/>
              <w:marBottom w:val="0"/>
              <w:divBdr>
                <w:top w:val="single" w:sz="6" w:space="27" w:color="DBDCE0"/>
                <w:left w:val="single" w:sz="6" w:space="27" w:color="DBDCE0"/>
                <w:bottom w:val="single" w:sz="6" w:space="27" w:color="DBDCE0"/>
                <w:right w:val="single" w:sz="6" w:space="27" w:color="DBDCE0"/>
              </w:divBdr>
              <w:divsChild>
                <w:div w:id="6080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2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315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0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801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695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764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3336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60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31939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494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68409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02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stackdriver/docs/managed-prometheus" TargetMode="External"/><Relationship Id="rId18" Type="http://schemas.openxmlformats.org/officeDocument/2006/relationships/hyperlink" Target="https://cloud.google.com/stackdriver/docs/solutions/agents/ops-agent" TargetMode="External"/><Relationship Id="rId26" Type="http://schemas.openxmlformats.org/officeDocument/2006/relationships/hyperlink" Target="https://cloud.google.com/monitoring/dashboar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monitoring" TargetMode="External"/><Relationship Id="rId7" Type="http://schemas.openxmlformats.org/officeDocument/2006/relationships/hyperlink" Target="https://cloud.google.com/monitoring/dashboards" TargetMode="External"/><Relationship Id="rId12" Type="http://schemas.openxmlformats.org/officeDocument/2006/relationships/hyperlink" Target="https://cloud.google.com/monitoring" TargetMode="External"/><Relationship Id="rId17" Type="http://schemas.openxmlformats.org/officeDocument/2006/relationships/hyperlink" Target="https://cloud.google.com/managed-prometheus" TargetMode="External"/><Relationship Id="rId25" Type="http://schemas.openxmlformats.org/officeDocument/2006/relationships/hyperlink" Target="https://cloud.google.com/logging/docs/logs-based-metric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blog/products/management-tools/practical-guide-to-setting-slos" TargetMode="External"/><Relationship Id="rId20" Type="http://schemas.openxmlformats.org/officeDocument/2006/relationships/hyperlink" Target="https://cloud.google.com/monitoring/custom-metrics" TargetMode="External"/><Relationship Id="rId29" Type="http://schemas.openxmlformats.org/officeDocument/2006/relationships/hyperlink" Target="https://cloud.google.com/monitoring/aler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monitoring" TargetMode="External"/><Relationship Id="rId24" Type="http://schemas.openxmlformats.org/officeDocument/2006/relationships/hyperlink" Target="https://console.cloud.google.com/?tutorial=cloud_ops_install_agent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stackdriver/docs/solutions/slo-monitoring" TargetMode="External"/><Relationship Id="rId23" Type="http://schemas.openxmlformats.org/officeDocument/2006/relationships/hyperlink" Target="https://cloud.google.com/monitoring/agent" TargetMode="External"/><Relationship Id="rId28" Type="http://schemas.openxmlformats.org/officeDocument/2006/relationships/hyperlink" Target="https://cloud.google.com/monitoring/groups" TargetMode="External"/><Relationship Id="rId10" Type="http://schemas.openxmlformats.org/officeDocument/2006/relationships/hyperlink" Target="https://cloud.google.com/blog/products/operations/introducing-google-cloud-managed-service-for-prometheus" TargetMode="External"/><Relationship Id="rId19" Type="http://schemas.openxmlformats.org/officeDocument/2006/relationships/hyperlink" Target="https://cloud.google.com/stackdriver/docs/solutions/slo-monitoring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ackdriver/docs/managed-prometheus/setup-managed" TargetMode="External"/><Relationship Id="rId14" Type="http://schemas.openxmlformats.org/officeDocument/2006/relationships/hyperlink" Target="https://cloud.google.com/stackdriver/docs/solutions/managing-agent-policies" TargetMode="External"/><Relationship Id="rId22" Type="http://schemas.openxmlformats.org/officeDocument/2006/relationships/hyperlink" Target="https://cloud.google.com/stackdriver/docs/managed-prometheus" TargetMode="External"/><Relationship Id="rId27" Type="http://schemas.openxmlformats.org/officeDocument/2006/relationships/hyperlink" Target="https://cloud.google.com/monitoring/settings" TargetMode="External"/><Relationship Id="rId30" Type="http://schemas.openxmlformats.org/officeDocument/2006/relationships/hyperlink" Target="https://cloud.google.com/monitoring/uptime-checks" TargetMode="External"/><Relationship Id="rId8" Type="http://schemas.openxmlformats.org/officeDocument/2006/relationships/hyperlink" Target="https://cloud.google.com/monitoring/agent/ops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2022-10-04T22:17:00Z</dcterms:created>
  <dcterms:modified xsi:type="dcterms:W3CDTF">2022-10-04T22:21:00Z</dcterms:modified>
</cp:coreProperties>
</file>