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8D71" w14:textId="77777777" w:rsidR="002860C2" w:rsidRPr="002860C2" w:rsidRDefault="002860C2" w:rsidP="002860C2">
      <w:pPr>
        <w:shd w:val="clear" w:color="auto" w:fill="FFFFFF"/>
        <w:spacing w:line="660" w:lineRule="atLeast"/>
        <w:textAlignment w:val="center"/>
        <w:outlineLvl w:val="0"/>
        <w:rPr>
          <w:rFonts w:ascii="Roboto" w:eastAsia="Times New Roman" w:hAnsi="Roboto" w:cs="Times New Roman"/>
          <w:b/>
          <w:bCs/>
          <w:color w:val="202124"/>
          <w:spacing w:val="-4"/>
          <w:kern w:val="36"/>
          <w:sz w:val="54"/>
          <w:szCs w:val="54"/>
          <w:lang w:val="en-IN"/>
        </w:rPr>
      </w:pPr>
      <w:r w:rsidRPr="002860C2">
        <w:rPr>
          <w:rFonts w:ascii="Roboto" w:eastAsia="Times New Roman" w:hAnsi="Roboto" w:cs="Times New Roman"/>
          <w:b/>
          <w:bCs/>
          <w:color w:val="202124"/>
          <w:spacing w:val="-4"/>
          <w:kern w:val="36"/>
          <w:sz w:val="54"/>
          <w:szCs w:val="54"/>
          <w:lang w:val="en-IN"/>
        </w:rPr>
        <w:t>Confidential Computing</w:t>
      </w:r>
    </w:p>
    <w:p w14:paraId="41370E54" w14:textId="77777777" w:rsidR="002860C2" w:rsidRPr="002860C2" w:rsidRDefault="002860C2" w:rsidP="002860C2">
      <w:pPr>
        <w:shd w:val="clear" w:color="auto" w:fill="FFFFFF"/>
        <w:spacing w:line="420" w:lineRule="atLeast"/>
        <w:rPr>
          <w:rFonts w:ascii="Roboto" w:eastAsia="Times New Roman" w:hAnsi="Roboto" w:cs="Times New Roman"/>
          <w:color w:val="5F6368"/>
          <w:sz w:val="27"/>
          <w:szCs w:val="27"/>
          <w:lang w:val="en-IN"/>
        </w:rPr>
      </w:pPr>
      <w:r w:rsidRPr="002860C2">
        <w:rPr>
          <w:rFonts w:ascii="Roboto" w:eastAsia="Times New Roman" w:hAnsi="Roboto" w:cs="Times New Roman"/>
          <w:color w:val="5F6368"/>
          <w:sz w:val="27"/>
          <w:szCs w:val="27"/>
          <w:lang w:val="en-IN"/>
        </w:rPr>
        <w:t>Encrypt data in-use with Confidential VMs and Confidential GKE Nodes</w:t>
      </w:r>
    </w:p>
    <w:p w14:paraId="4355B152" w14:textId="782D8407" w:rsidR="00AE49E6" w:rsidRDefault="00AE49E6"/>
    <w:p w14:paraId="217C6E05" w14:textId="77777777" w:rsidR="002860C2" w:rsidRDefault="002860C2" w:rsidP="002860C2">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Breakthrough technology that allows you to encrypt data in use—while it’s being processed</w:t>
      </w:r>
    </w:p>
    <w:p w14:paraId="3D957A60" w14:textId="77777777" w:rsidR="002860C2" w:rsidRDefault="002860C2" w:rsidP="002860C2">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Simple, easy-to-use deployment that doesn't compromise on performance</w:t>
      </w:r>
    </w:p>
    <w:p w14:paraId="2A84966F" w14:textId="77777777" w:rsidR="002860C2" w:rsidRDefault="002860C2" w:rsidP="002860C2">
      <w:pPr>
        <w:pStyle w:val="NormalWeb"/>
        <w:numPr>
          <w:ilvl w:val="0"/>
          <w:numId w:val="1"/>
        </w:numPr>
        <w:shd w:val="clear" w:color="auto" w:fill="FFFFFF"/>
        <w:spacing w:before="0" w:beforeAutospacing="0" w:after="0" w:afterAutospacing="0" w:line="420" w:lineRule="atLeast"/>
        <w:rPr>
          <w:rFonts w:ascii="Roboto" w:hAnsi="Roboto"/>
          <w:color w:val="5F6368"/>
          <w:sz w:val="27"/>
          <w:szCs w:val="27"/>
        </w:rPr>
      </w:pPr>
      <w:r>
        <w:rPr>
          <w:rFonts w:ascii="Roboto" w:hAnsi="Roboto"/>
          <w:color w:val="5F6368"/>
          <w:sz w:val="27"/>
          <w:szCs w:val="27"/>
        </w:rPr>
        <w:t>Collaborate with anyone, all while preserving the confidentiality of your data</w:t>
      </w:r>
    </w:p>
    <w:p w14:paraId="052F06BE" w14:textId="42CC420F" w:rsidR="002860C2" w:rsidRDefault="002860C2"/>
    <w:p w14:paraId="4059E9D0" w14:textId="77777777" w:rsidR="002860C2" w:rsidRDefault="002860C2" w:rsidP="002860C2">
      <w:pPr>
        <w:shd w:val="clear" w:color="auto" w:fill="FFFFFF"/>
        <w:spacing w:before="240" w:after="240" w:line="240" w:lineRule="atLeast"/>
        <w:rPr>
          <w:rFonts w:ascii="Roboto" w:hAnsi="Roboto"/>
          <w:caps/>
          <w:color w:val="202124"/>
          <w:spacing w:val="8"/>
          <w:sz w:val="17"/>
          <w:szCs w:val="17"/>
          <w:lang w:val="en-IN"/>
        </w:rPr>
      </w:pPr>
      <w:r>
        <w:rPr>
          <w:rFonts w:ascii="Roboto" w:hAnsi="Roboto"/>
          <w:caps/>
          <w:color w:val="202124"/>
          <w:spacing w:val="8"/>
          <w:sz w:val="17"/>
          <w:szCs w:val="17"/>
        </w:rPr>
        <w:t>BENEFITS</w:t>
      </w:r>
    </w:p>
    <w:p w14:paraId="546B975E" w14:textId="77777777" w:rsidR="002860C2" w:rsidRDefault="002860C2" w:rsidP="002860C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Breakthrough in confidentiality</w:t>
      </w:r>
    </w:p>
    <w:p w14:paraId="3E9AE3F0"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Confidential VMs are a breakthrough technology that allow customers to encrypt their most sensitive data in the cloud while it’s being processed.</w:t>
      </w:r>
    </w:p>
    <w:p w14:paraId="57275284" w14:textId="77777777" w:rsidR="002860C2" w:rsidRDefault="002860C2" w:rsidP="002860C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Simple for everyone</w:t>
      </w:r>
    </w:p>
    <w:p w14:paraId="1A95741D"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Google Cloud’s approach allows customers to encrypt data in use without making any code changes to their applications or having to compromise on performance.</w:t>
      </w:r>
    </w:p>
    <w:p w14:paraId="72942E0F" w14:textId="77777777" w:rsidR="002860C2" w:rsidRDefault="002860C2" w:rsidP="002860C2">
      <w:pPr>
        <w:pStyle w:val="Heading3"/>
        <w:shd w:val="clear" w:color="auto" w:fill="FFFFFF"/>
        <w:spacing w:before="0" w:line="420" w:lineRule="atLeast"/>
        <w:rPr>
          <w:rFonts w:ascii="Roboto" w:hAnsi="Roboto"/>
          <w:color w:val="202124"/>
          <w:sz w:val="30"/>
          <w:szCs w:val="30"/>
        </w:rPr>
      </w:pPr>
      <w:r>
        <w:rPr>
          <w:rFonts w:ascii="Roboto" w:hAnsi="Roboto"/>
          <w:b/>
          <w:bCs/>
          <w:color w:val="202124"/>
          <w:sz w:val="30"/>
          <w:szCs w:val="30"/>
        </w:rPr>
        <w:t>Enabling new possibilities</w:t>
      </w:r>
    </w:p>
    <w:p w14:paraId="39B7F820"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Confidential Computing can unlock scenarios which previously have not been possible. Organizations will be able to collaborate, all while preserving the confidentiality of their data.</w:t>
      </w:r>
    </w:p>
    <w:p w14:paraId="310F1A1C" w14:textId="1A5B2792" w:rsidR="002860C2" w:rsidRDefault="002860C2"/>
    <w:p w14:paraId="642C2F9B" w14:textId="77777777" w:rsidR="002860C2" w:rsidRDefault="002860C2" w:rsidP="002860C2">
      <w:pPr>
        <w:pStyle w:val="Heading2"/>
        <w:spacing w:before="0" w:line="540" w:lineRule="atLeast"/>
        <w:rPr>
          <w:rFonts w:ascii="Roboto" w:hAnsi="Roboto"/>
          <w:color w:val="202124"/>
          <w:sz w:val="42"/>
          <w:szCs w:val="42"/>
          <w:lang w:val="en-IN"/>
        </w:rPr>
      </w:pPr>
      <w:r>
        <w:rPr>
          <w:rFonts w:ascii="Roboto" w:hAnsi="Roboto"/>
          <w:b/>
          <w:bCs/>
          <w:color w:val="202124"/>
          <w:sz w:val="42"/>
          <w:szCs w:val="42"/>
        </w:rPr>
        <w:t>Key features</w:t>
      </w:r>
    </w:p>
    <w:p w14:paraId="0E2B2D12" w14:textId="77777777" w:rsidR="002860C2" w:rsidRDefault="002860C2" w:rsidP="002860C2">
      <w:pPr>
        <w:pStyle w:val="Heading3"/>
        <w:shd w:val="clear" w:color="auto" w:fill="FFFFFF"/>
        <w:spacing w:before="0" w:line="360" w:lineRule="atLeast"/>
        <w:rPr>
          <w:rFonts w:ascii="Roboto" w:hAnsi="Roboto"/>
          <w:b/>
          <w:bCs/>
          <w:color w:val="202124"/>
        </w:rPr>
      </w:pPr>
      <w:r>
        <w:rPr>
          <w:rFonts w:ascii="Roboto" w:hAnsi="Roboto"/>
          <w:b/>
          <w:bCs/>
          <w:color w:val="202124"/>
        </w:rPr>
        <w:t>Real-time encryption in use</w:t>
      </w:r>
    </w:p>
    <w:p w14:paraId="296CC443"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Google Cloud customers can encrypt data in use, taking advantage of security technology offered by modern CPUs (e.g., Secure Encrypted Virtualization extension supported by 2nd Gen AMD EPYC™ CPUs) together with confidential computing cloud services. Customers can be confident that their data will stay private and encrypted even while being processed.</w:t>
      </w:r>
    </w:p>
    <w:p w14:paraId="4CB20512" w14:textId="77777777" w:rsidR="002860C2" w:rsidRDefault="002860C2" w:rsidP="002860C2">
      <w:pPr>
        <w:pStyle w:val="Heading3"/>
        <w:shd w:val="clear" w:color="auto" w:fill="FFFFFF"/>
        <w:spacing w:before="0" w:line="360" w:lineRule="atLeast"/>
        <w:rPr>
          <w:rFonts w:ascii="Roboto" w:hAnsi="Roboto"/>
          <w:color w:val="202124"/>
        </w:rPr>
      </w:pPr>
      <w:r>
        <w:rPr>
          <w:rFonts w:ascii="Roboto" w:hAnsi="Roboto"/>
          <w:b/>
          <w:bCs/>
          <w:color w:val="202124"/>
        </w:rPr>
        <w:t>Lift and shift confidentiality</w:t>
      </w:r>
    </w:p>
    <w:p w14:paraId="64796F5C"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Our goal is to make Confidential Computing easy. The transition to Confidential VMs is seamless—all workloads you run today, new and existing, can run as a Confidential VM. You do not need to make any code changes to your applications to use Confidential VMs. One checkbox—it’s that simple.</w:t>
      </w:r>
    </w:p>
    <w:p w14:paraId="21B204E0" w14:textId="77777777" w:rsidR="002860C2" w:rsidRDefault="002860C2" w:rsidP="002860C2">
      <w:pPr>
        <w:pStyle w:val="Heading3"/>
        <w:shd w:val="clear" w:color="auto" w:fill="FFFFFF"/>
        <w:spacing w:before="0" w:line="360" w:lineRule="atLeast"/>
        <w:rPr>
          <w:rFonts w:ascii="Roboto" w:hAnsi="Roboto"/>
          <w:color w:val="202124"/>
        </w:rPr>
      </w:pPr>
      <w:r>
        <w:rPr>
          <w:rFonts w:ascii="Roboto" w:hAnsi="Roboto"/>
          <w:b/>
          <w:bCs/>
          <w:color w:val="202124"/>
        </w:rPr>
        <w:lastRenderedPageBreak/>
        <w:t>Enhanced innovation</w:t>
      </w:r>
    </w:p>
    <w:p w14:paraId="4571C0CB" w14:textId="77777777" w:rsidR="002860C2" w:rsidRDefault="002860C2" w:rsidP="002860C2">
      <w:pPr>
        <w:pStyle w:val="NormalWeb"/>
        <w:shd w:val="clear" w:color="auto" w:fill="FFFFFF"/>
        <w:spacing w:before="0" w:beforeAutospacing="0" w:after="0" w:afterAutospacing="0" w:line="360" w:lineRule="atLeast"/>
        <w:rPr>
          <w:rFonts w:ascii="Roboto" w:hAnsi="Roboto"/>
          <w:color w:val="5F6368"/>
          <w:spacing w:val="2"/>
        </w:rPr>
      </w:pPr>
      <w:r>
        <w:rPr>
          <w:rFonts w:ascii="Roboto" w:hAnsi="Roboto"/>
          <w:color w:val="5F6368"/>
          <w:spacing w:val="2"/>
        </w:rPr>
        <w:t>Confidential Computing can unlock computing scenarios that have previously not been possible. Organizations will now be able collaborate on research in the cloud across geographies, across competitors, all while preserving confidentiality.</w:t>
      </w:r>
    </w:p>
    <w:p w14:paraId="37FE0729" w14:textId="77777777" w:rsidR="002860C2" w:rsidRDefault="002860C2" w:rsidP="002860C2">
      <w:pPr>
        <w:rPr>
          <w:rFonts w:ascii="Times New Roman" w:hAnsi="Times New Roman"/>
        </w:rPr>
      </w:pPr>
      <w:hyperlink r:id="rId7" w:history="1">
        <w:r>
          <w:rPr>
            <w:rFonts w:ascii="Roboto" w:hAnsi="Roboto"/>
            <w:color w:val="1A73E8"/>
            <w:bdr w:val="single" w:sz="6" w:space="10" w:color="auto" w:frame="1"/>
            <w:shd w:val="clear" w:color="auto" w:fill="FFFFFF"/>
          </w:rPr>
          <w:br/>
        </w:r>
      </w:hyperlink>
    </w:p>
    <w:p w14:paraId="456DE6E7" w14:textId="77777777" w:rsidR="002860C2" w:rsidRDefault="002860C2" w:rsidP="002860C2">
      <w:pPr>
        <w:pStyle w:val="Heading3"/>
        <w:shd w:val="clear" w:color="auto" w:fill="FFFFFF"/>
        <w:spacing w:before="0" w:line="540" w:lineRule="atLeast"/>
        <w:rPr>
          <w:rFonts w:ascii="Roboto" w:hAnsi="Roboto"/>
          <w:color w:val="202124"/>
          <w:sz w:val="42"/>
          <w:szCs w:val="42"/>
          <w:lang w:val="en-IN"/>
        </w:rPr>
      </w:pPr>
      <w:r>
        <w:rPr>
          <w:rFonts w:ascii="Roboto" w:hAnsi="Roboto"/>
          <w:b/>
          <w:bCs/>
          <w:color w:val="202124"/>
          <w:sz w:val="42"/>
          <w:szCs w:val="42"/>
        </w:rPr>
        <w:t>All features</w:t>
      </w:r>
    </w:p>
    <w:tbl>
      <w:tblPr>
        <w:tblStyle w:val="TableGrid"/>
        <w:tblW w:w="9493" w:type="dxa"/>
        <w:tblLayout w:type="fixed"/>
        <w:tblLook w:val="04A0" w:firstRow="1" w:lastRow="0" w:firstColumn="1" w:lastColumn="0" w:noHBand="0" w:noVBand="1"/>
      </w:tblPr>
      <w:tblGrid>
        <w:gridCol w:w="4390"/>
        <w:gridCol w:w="5103"/>
      </w:tblGrid>
      <w:tr w:rsidR="002860C2" w14:paraId="78E37170" w14:textId="77777777" w:rsidTr="002860C2">
        <w:tc>
          <w:tcPr>
            <w:tcW w:w="4390" w:type="dxa"/>
            <w:hideMark/>
          </w:tcPr>
          <w:p w14:paraId="2440022A" w14:textId="77777777" w:rsidR="002860C2" w:rsidRDefault="002860C2">
            <w:pPr>
              <w:spacing w:line="300" w:lineRule="atLeast"/>
              <w:rPr>
                <w:rFonts w:ascii="Times New Roman" w:hAnsi="Times New Roman"/>
                <w:color w:val="5F6368"/>
                <w:sz w:val="21"/>
                <w:szCs w:val="21"/>
              </w:rPr>
            </w:pPr>
            <w:r>
              <w:rPr>
                <w:rStyle w:val="cws-headline--headline-6"/>
                <w:rFonts w:ascii="Roboto" w:hAnsi="Roboto"/>
                <w:color w:val="202124"/>
              </w:rPr>
              <w:t>Real-time encryption in use</w:t>
            </w:r>
          </w:p>
        </w:tc>
        <w:tc>
          <w:tcPr>
            <w:tcW w:w="5103" w:type="dxa"/>
            <w:hideMark/>
          </w:tcPr>
          <w:p w14:paraId="469FBB5B" w14:textId="77777777" w:rsidR="002860C2" w:rsidRDefault="002860C2">
            <w:pPr>
              <w:spacing w:line="450" w:lineRule="atLeast"/>
              <w:rPr>
                <w:color w:val="5F6368"/>
                <w:sz w:val="21"/>
                <w:szCs w:val="21"/>
              </w:rPr>
            </w:pPr>
            <w:r>
              <w:rPr>
                <w:rStyle w:val="cws-body"/>
                <w:rFonts w:ascii="Roboto" w:hAnsi="Roboto"/>
                <w:color w:val="5F6368"/>
                <w:spacing w:val="2"/>
              </w:rPr>
              <w:t>Google Cloud customers can encrypt data in use, taking advantage of security technology offered by modern CPUs (e.g., secure encrypted virtualization supported by 2nd Gen AMD EPYC™ CPUs) together with confidential computing cloud services. Customers can be confident that their data will stay private and encrypted even while being processed.</w:t>
            </w:r>
          </w:p>
        </w:tc>
      </w:tr>
      <w:tr w:rsidR="002860C2" w14:paraId="098B361A" w14:textId="77777777" w:rsidTr="002860C2">
        <w:tc>
          <w:tcPr>
            <w:tcW w:w="4390" w:type="dxa"/>
            <w:hideMark/>
          </w:tcPr>
          <w:p w14:paraId="4883DEA8" w14:textId="77777777" w:rsidR="002860C2" w:rsidRDefault="002860C2">
            <w:pPr>
              <w:spacing w:line="300" w:lineRule="atLeast"/>
              <w:rPr>
                <w:color w:val="5F6368"/>
                <w:sz w:val="21"/>
                <w:szCs w:val="21"/>
              </w:rPr>
            </w:pPr>
            <w:r>
              <w:rPr>
                <w:rStyle w:val="cws-headline--headline-6"/>
                <w:rFonts w:ascii="Roboto" w:hAnsi="Roboto"/>
                <w:color w:val="202124"/>
              </w:rPr>
              <w:t>Lift and shift confidentiality</w:t>
            </w:r>
          </w:p>
        </w:tc>
        <w:tc>
          <w:tcPr>
            <w:tcW w:w="5103" w:type="dxa"/>
            <w:hideMark/>
          </w:tcPr>
          <w:p w14:paraId="0601AE5F" w14:textId="77777777" w:rsidR="002860C2" w:rsidRDefault="002860C2">
            <w:pPr>
              <w:spacing w:line="450" w:lineRule="atLeast"/>
              <w:rPr>
                <w:color w:val="5F6368"/>
                <w:sz w:val="21"/>
                <w:szCs w:val="21"/>
              </w:rPr>
            </w:pPr>
            <w:r>
              <w:rPr>
                <w:rStyle w:val="cws-body"/>
                <w:rFonts w:ascii="Roboto" w:hAnsi="Roboto"/>
                <w:color w:val="5F6368"/>
                <w:spacing w:val="2"/>
              </w:rPr>
              <w:t>Our goal is to make Confidential Computing easy. The transition to Confidential VMs is seamless—all workloads you run today, new and existing, can run as a Confidential VM. You do not need to make any code changes to your applications to use Confidential VMs. One checkbox—it’s that simple.</w:t>
            </w:r>
          </w:p>
        </w:tc>
      </w:tr>
      <w:tr w:rsidR="002860C2" w14:paraId="2C30FD23" w14:textId="77777777" w:rsidTr="002860C2">
        <w:tc>
          <w:tcPr>
            <w:tcW w:w="4390" w:type="dxa"/>
            <w:hideMark/>
          </w:tcPr>
          <w:p w14:paraId="3CA730C7" w14:textId="77777777" w:rsidR="002860C2" w:rsidRDefault="002860C2">
            <w:pPr>
              <w:spacing w:line="300" w:lineRule="atLeast"/>
              <w:rPr>
                <w:color w:val="5F6368"/>
                <w:sz w:val="21"/>
                <w:szCs w:val="21"/>
              </w:rPr>
            </w:pPr>
            <w:r>
              <w:rPr>
                <w:rStyle w:val="cws-headline--headline-6"/>
                <w:rFonts w:ascii="Roboto" w:hAnsi="Roboto"/>
                <w:color w:val="202124"/>
              </w:rPr>
              <w:t>Detection of advanced persistent attacks</w:t>
            </w:r>
          </w:p>
        </w:tc>
        <w:tc>
          <w:tcPr>
            <w:tcW w:w="5103" w:type="dxa"/>
            <w:hideMark/>
          </w:tcPr>
          <w:p w14:paraId="75071802" w14:textId="77777777" w:rsidR="002860C2" w:rsidRDefault="002860C2">
            <w:pPr>
              <w:spacing w:line="450" w:lineRule="atLeast"/>
              <w:rPr>
                <w:color w:val="5F6368"/>
                <w:sz w:val="21"/>
                <w:szCs w:val="21"/>
              </w:rPr>
            </w:pPr>
            <w:r>
              <w:rPr>
                <w:rStyle w:val="cws-body"/>
                <w:rFonts w:ascii="Roboto" w:hAnsi="Roboto"/>
                <w:color w:val="5F6368"/>
                <w:spacing w:val="2"/>
              </w:rPr>
              <w:t xml:space="preserve">Confidential Computing builds on the protections Shielded VMs offer against rootkit and </w:t>
            </w:r>
            <w:proofErr w:type="spellStart"/>
            <w:r>
              <w:rPr>
                <w:rStyle w:val="cws-body"/>
                <w:rFonts w:ascii="Roboto" w:hAnsi="Roboto"/>
                <w:color w:val="5F6368"/>
                <w:spacing w:val="2"/>
              </w:rPr>
              <w:t>bootkits</w:t>
            </w:r>
            <w:proofErr w:type="spellEnd"/>
            <w:r>
              <w:rPr>
                <w:rStyle w:val="cws-body"/>
                <w:rFonts w:ascii="Roboto" w:hAnsi="Roboto"/>
                <w:color w:val="5F6368"/>
                <w:spacing w:val="2"/>
              </w:rPr>
              <w:t>. This helps ensure the integrity of the operating system you choose to run in your Confidential VM.</w:t>
            </w:r>
          </w:p>
        </w:tc>
      </w:tr>
      <w:tr w:rsidR="002860C2" w14:paraId="4E6C1933" w14:textId="77777777" w:rsidTr="002860C2">
        <w:tc>
          <w:tcPr>
            <w:tcW w:w="4390" w:type="dxa"/>
            <w:hideMark/>
          </w:tcPr>
          <w:p w14:paraId="6E6BFDA8" w14:textId="77777777" w:rsidR="002860C2" w:rsidRDefault="002860C2">
            <w:pPr>
              <w:spacing w:line="300" w:lineRule="atLeast"/>
              <w:rPr>
                <w:color w:val="5F6368"/>
                <w:sz w:val="21"/>
                <w:szCs w:val="21"/>
              </w:rPr>
            </w:pPr>
            <w:r>
              <w:rPr>
                <w:rStyle w:val="cws-headline--headline-6"/>
                <w:rFonts w:ascii="Roboto" w:hAnsi="Roboto"/>
                <w:color w:val="202124"/>
              </w:rPr>
              <w:t>Enable innovation</w:t>
            </w:r>
          </w:p>
        </w:tc>
        <w:tc>
          <w:tcPr>
            <w:tcW w:w="5103" w:type="dxa"/>
            <w:hideMark/>
          </w:tcPr>
          <w:p w14:paraId="3FEEFCFC" w14:textId="77777777" w:rsidR="002860C2" w:rsidRDefault="002860C2">
            <w:pPr>
              <w:spacing w:line="450" w:lineRule="atLeast"/>
              <w:rPr>
                <w:color w:val="5F6368"/>
                <w:sz w:val="21"/>
                <w:szCs w:val="21"/>
              </w:rPr>
            </w:pPr>
            <w:r>
              <w:rPr>
                <w:rStyle w:val="cws-body"/>
                <w:rFonts w:ascii="Roboto" w:hAnsi="Roboto"/>
                <w:color w:val="5F6368"/>
                <w:spacing w:val="2"/>
              </w:rPr>
              <w:t>Confidential Computing can unlock computing scenarios that have previously not been possible. Organizations will now be able collaborate on research in the cloud, all while preserving confidentiality.</w:t>
            </w:r>
          </w:p>
        </w:tc>
      </w:tr>
      <w:tr w:rsidR="002860C2" w14:paraId="56D4B6BC" w14:textId="77777777" w:rsidTr="002860C2">
        <w:tc>
          <w:tcPr>
            <w:tcW w:w="4390" w:type="dxa"/>
            <w:hideMark/>
          </w:tcPr>
          <w:p w14:paraId="240FA893" w14:textId="77777777" w:rsidR="002860C2" w:rsidRDefault="002860C2">
            <w:pPr>
              <w:spacing w:line="300" w:lineRule="atLeast"/>
              <w:rPr>
                <w:color w:val="5F6368"/>
                <w:sz w:val="21"/>
                <w:szCs w:val="21"/>
              </w:rPr>
            </w:pPr>
            <w:r>
              <w:rPr>
                <w:rStyle w:val="cws-headline--headline-6"/>
                <w:rFonts w:ascii="Roboto" w:hAnsi="Roboto"/>
                <w:color w:val="202124"/>
              </w:rPr>
              <w:lastRenderedPageBreak/>
              <w:t>High performance</w:t>
            </w:r>
          </w:p>
        </w:tc>
        <w:tc>
          <w:tcPr>
            <w:tcW w:w="5103" w:type="dxa"/>
            <w:hideMark/>
          </w:tcPr>
          <w:p w14:paraId="07C2CA3A" w14:textId="77777777" w:rsidR="002860C2" w:rsidRDefault="002860C2">
            <w:pPr>
              <w:spacing w:line="450" w:lineRule="atLeast"/>
              <w:rPr>
                <w:color w:val="5F6368"/>
                <w:sz w:val="21"/>
                <w:szCs w:val="21"/>
              </w:rPr>
            </w:pPr>
            <w:r>
              <w:rPr>
                <w:rStyle w:val="cws-body"/>
                <w:rFonts w:ascii="Roboto" w:hAnsi="Roboto"/>
                <w:color w:val="5F6368"/>
                <w:spacing w:val="2"/>
              </w:rPr>
              <w:t>Confidential VMs offer similar performance to standard N2D VMs. Explore </w:t>
            </w:r>
            <w:hyperlink r:id="rId8" w:tgtFrame="_blank" w:history="1">
              <w:r>
                <w:rPr>
                  <w:rStyle w:val="Hyperlink"/>
                  <w:rFonts w:ascii="Roboto" w:hAnsi="Roboto"/>
                  <w:color w:val="1967D2"/>
                  <w:spacing w:val="2"/>
                </w:rPr>
                <w:t>tech docs and whitepapers</w:t>
              </w:r>
            </w:hyperlink>
            <w:r>
              <w:rPr>
                <w:rStyle w:val="cws-body"/>
                <w:rFonts w:ascii="Roboto" w:hAnsi="Roboto"/>
                <w:color w:val="5F6368"/>
                <w:spacing w:val="2"/>
              </w:rPr>
              <w:t>.</w:t>
            </w:r>
          </w:p>
        </w:tc>
      </w:tr>
    </w:tbl>
    <w:p w14:paraId="3609C9C8" w14:textId="50342515" w:rsidR="002860C2" w:rsidRDefault="002860C2"/>
    <w:p w14:paraId="2B50C506" w14:textId="77777777" w:rsidR="002860C2" w:rsidRPr="002860C2" w:rsidRDefault="002860C2" w:rsidP="002860C2">
      <w:pPr>
        <w:rPr>
          <w:rFonts w:ascii="Times New Roman" w:eastAsia="Times New Roman" w:hAnsi="Times New Roman" w:cs="Times New Roman"/>
          <w:sz w:val="24"/>
          <w:szCs w:val="24"/>
          <w:lang w:val="en-IN"/>
        </w:rPr>
      </w:pPr>
      <w:r w:rsidRPr="002860C2">
        <w:rPr>
          <w:rFonts w:ascii="Noto Sans" w:eastAsia="Times New Roman" w:hAnsi="Noto Sans" w:cs="Noto Sans"/>
          <w:color w:val="202124"/>
          <w:sz w:val="48"/>
          <w:szCs w:val="48"/>
          <w:shd w:val="clear" w:color="auto" w:fill="FFFFFF"/>
          <w:lang w:val="en-IN"/>
        </w:rPr>
        <w:t>Encrypt workload data in-use with Confidential Google Kubernetes Engine Nodes</w:t>
      </w:r>
    </w:p>
    <w:p w14:paraId="7B7F7D0D" w14:textId="61413863" w:rsidR="002860C2" w:rsidRDefault="002860C2"/>
    <w:p w14:paraId="3893E764" w14:textId="77777777" w:rsidR="002860C2" w:rsidRDefault="002860C2" w:rsidP="002860C2">
      <w:pPr>
        <w:pStyle w:val="Heading2"/>
        <w:shd w:val="clear" w:color="auto" w:fill="FFFFFF"/>
        <w:rPr>
          <w:color w:val="202124"/>
          <w:lang w:val="en-IN"/>
        </w:rPr>
      </w:pPr>
      <w:r>
        <w:rPr>
          <w:rStyle w:val="devsite-heading"/>
          <w:color w:val="202124"/>
        </w:rPr>
        <w:t>Overview</w:t>
      </w:r>
    </w:p>
    <w:p w14:paraId="1D20CA03" w14:textId="77777777" w:rsidR="002860C2" w:rsidRDefault="002860C2" w:rsidP="002860C2">
      <w:pPr>
        <w:pStyle w:val="NormalWeb"/>
        <w:shd w:val="clear" w:color="auto" w:fill="FFFFFF"/>
        <w:spacing w:before="240" w:beforeAutospacing="0" w:after="240" w:afterAutospacing="0"/>
        <w:rPr>
          <w:rFonts w:ascii="Roboto" w:hAnsi="Roboto"/>
          <w:color w:val="202124"/>
        </w:rPr>
      </w:pPr>
      <w:r>
        <w:rPr>
          <w:rFonts w:ascii="Roboto" w:hAnsi="Roboto"/>
          <w:color w:val="202124"/>
        </w:rPr>
        <w:t>Confidential GKE Nodes is built on top of Compute Engine </w:t>
      </w:r>
      <w:hyperlink r:id="rId9" w:history="1">
        <w:r>
          <w:rPr>
            <w:rStyle w:val="Hyperlink"/>
            <w:rFonts w:ascii="Roboto" w:hAnsi="Roboto"/>
          </w:rPr>
          <w:t>Confidential VM</w:t>
        </w:r>
      </w:hyperlink>
      <w:r>
        <w:rPr>
          <w:rFonts w:ascii="Roboto" w:hAnsi="Roboto"/>
          <w:color w:val="202124"/>
        </w:rPr>
        <w:t>, which encrypts the memory contents of VMs in-use. Encryption-in-use is one of the three states of end-to-end encryption.</w:t>
      </w:r>
    </w:p>
    <w:p w14:paraId="0DF29109" w14:textId="77777777" w:rsidR="002860C2" w:rsidRDefault="002860C2" w:rsidP="002860C2">
      <w:pPr>
        <w:pStyle w:val="NormalWeb"/>
        <w:shd w:val="clear" w:color="auto" w:fill="FFFFFF"/>
        <w:spacing w:before="240" w:beforeAutospacing="0" w:after="240" w:afterAutospacing="0"/>
        <w:rPr>
          <w:rFonts w:ascii="Roboto" w:hAnsi="Roboto"/>
          <w:color w:val="202124"/>
        </w:rPr>
      </w:pPr>
      <w:r>
        <w:rPr>
          <w:rFonts w:ascii="Roboto" w:hAnsi="Roboto"/>
          <w:color w:val="202124"/>
        </w:rPr>
        <w:t>When you enable Confidential GKE Nodes on a cluster or on a node pool, data in workloads running on the confidential nodes is encrypted-in-use. For visibility over your control plane, use </w:t>
      </w:r>
      <w:hyperlink r:id="rId10" w:history="1">
        <w:r>
          <w:rPr>
            <w:rStyle w:val="Hyperlink"/>
            <w:rFonts w:ascii="Roboto" w:hAnsi="Roboto"/>
          </w:rPr>
          <w:t>Access Transparency</w:t>
        </w:r>
      </w:hyperlink>
      <w:r>
        <w:rPr>
          <w:rFonts w:ascii="Roboto" w:hAnsi="Roboto"/>
          <w:color w:val="202124"/>
        </w:rPr>
        <w:t>.</w:t>
      </w:r>
    </w:p>
    <w:p w14:paraId="2DB2C5BC" w14:textId="77777777" w:rsidR="002860C2" w:rsidRDefault="002860C2" w:rsidP="002860C2">
      <w:pPr>
        <w:pStyle w:val="NormalWeb"/>
        <w:shd w:val="clear" w:color="auto" w:fill="FFFFFF"/>
        <w:spacing w:before="240" w:beforeAutospacing="0" w:after="240" w:afterAutospacing="0"/>
        <w:rPr>
          <w:rFonts w:ascii="Roboto" w:hAnsi="Roboto"/>
          <w:color w:val="202124"/>
        </w:rPr>
      </w:pPr>
      <w:r>
        <w:rPr>
          <w:rFonts w:ascii="Roboto" w:hAnsi="Roboto"/>
          <w:color w:val="202124"/>
        </w:rPr>
        <w:t>You can enable Confidential GKE Nodes when doing one of the following:</w:t>
      </w:r>
    </w:p>
    <w:p w14:paraId="3E58915E" w14:textId="77777777" w:rsidR="002860C2" w:rsidRDefault="002860C2" w:rsidP="002860C2">
      <w:pPr>
        <w:numPr>
          <w:ilvl w:val="0"/>
          <w:numId w:val="2"/>
        </w:numPr>
        <w:shd w:val="clear" w:color="auto" w:fill="FFFFFF"/>
        <w:spacing w:before="180" w:after="180"/>
        <w:rPr>
          <w:rFonts w:ascii="Roboto" w:hAnsi="Roboto"/>
          <w:color w:val="202124"/>
        </w:rPr>
      </w:pPr>
      <w:r>
        <w:rPr>
          <w:rFonts w:ascii="Roboto" w:hAnsi="Roboto"/>
          <w:color w:val="202124"/>
        </w:rPr>
        <w:t>Create a new cluster</w:t>
      </w:r>
    </w:p>
    <w:p w14:paraId="66CD9558" w14:textId="77777777" w:rsidR="002860C2" w:rsidRDefault="002860C2" w:rsidP="002860C2">
      <w:pPr>
        <w:numPr>
          <w:ilvl w:val="0"/>
          <w:numId w:val="2"/>
        </w:numPr>
        <w:shd w:val="clear" w:color="auto" w:fill="FFFFFF"/>
        <w:spacing w:before="180" w:after="180"/>
        <w:rPr>
          <w:rFonts w:ascii="Roboto" w:hAnsi="Roboto"/>
          <w:color w:val="202124"/>
        </w:rPr>
      </w:pPr>
      <w:r>
        <w:rPr>
          <w:rFonts w:ascii="Roboto" w:hAnsi="Roboto"/>
          <w:color w:val="202124"/>
        </w:rPr>
        <w:t>Create a new node pool</w:t>
      </w:r>
    </w:p>
    <w:p w14:paraId="77E734C5" w14:textId="77777777" w:rsidR="002860C2" w:rsidRDefault="002860C2" w:rsidP="002860C2">
      <w:pPr>
        <w:numPr>
          <w:ilvl w:val="0"/>
          <w:numId w:val="2"/>
        </w:numPr>
        <w:shd w:val="clear" w:color="auto" w:fill="FFFFFF"/>
        <w:spacing w:before="180" w:after="180"/>
        <w:rPr>
          <w:rFonts w:ascii="Roboto" w:hAnsi="Roboto"/>
          <w:color w:val="202124"/>
        </w:rPr>
      </w:pPr>
      <w:r>
        <w:rPr>
          <w:rFonts w:ascii="Roboto" w:hAnsi="Roboto"/>
          <w:color w:val="202124"/>
        </w:rPr>
        <w:t>Update an existing node pool</w:t>
      </w:r>
    </w:p>
    <w:p w14:paraId="7BE067AB" w14:textId="77777777" w:rsidR="002860C2" w:rsidRDefault="002860C2" w:rsidP="002860C2">
      <w:pPr>
        <w:pStyle w:val="NormalWeb"/>
        <w:shd w:val="clear" w:color="auto" w:fill="FFFFFF"/>
        <w:spacing w:before="240" w:beforeAutospacing="0" w:after="240" w:afterAutospacing="0"/>
        <w:rPr>
          <w:rFonts w:ascii="Roboto" w:hAnsi="Roboto"/>
          <w:color w:val="202124"/>
        </w:rPr>
      </w:pPr>
      <w:r>
        <w:rPr>
          <w:rFonts w:ascii="Roboto" w:hAnsi="Roboto"/>
          <w:color w:val="202124"/>
        </w:rPr>
        <w:t>You cannot update an existing cluster to change the cluster-level Confidential GKE Nodes setting.</w:t>
      </w:r>
    </w:p>
    <w:p w14:paraId="6AF5FFEF" w14:textId="77777777" w:rsidR="002860C2" w:rsidRDefault="002860C2" w:rsidP="002860C2">
      <w:pPr>
        <w:pStyle w:val="NormalWeb"/>
        <w:shd w:val="clear" w:color="auto" w:fill="FFFFFF"/>
        <w:spacing w:before="240" w:beforeAutospacing="0" w:after="240" w:afterAutospacing="0"/>
        <w:rPr>
          <w:rFonts w:ascii="Roboto" w:hAnsi="Roboto"/>
          <w:color w:val="202124"/>
        </w:rPr>
      </w:pPr>
      <w:r>
        <w:rPr>
          <w:rFonts w:ascii="Roboto" w:hAnsi="Roboto"/>
          <w:color w:val="202124"/>
        </w:rPr>
        <w:t xml:space="preserve">The following table shows you the GKE </w:t>
      </w:r>
      <w:proofErr w:type="spellStart"/>
      <w:r>
        <w:rPr>
          <w:rFonts w:ascii="Roboto" w:hAnsi="Roboto"/>
          <w:color w:val="202124"/>
        </w:rPr>
        <w:t>behavior</w:t>
      </w:r>
      <w:proofErr w:type="spellEnd"/>
      <w:r>
        <w:rPr>
          <w:rFonts w:ascii="Roboto" w:hAnsi="Roboto"/>
          <w:color w:val="202124"/>
        </w:rPr>
        <w:t xml:space="preserve"> that applies when you enable Confidential GKE Nodes at the cluster level or at the node pool level:</w:t>
      </w:r>
    </w:p>
    <w:tbl>
      <w:tblPr>
        <w:tblStyle w:val="TableGrid"/>
        <w:tblW w:w="8926" w:type="dxa"/>
        <w:tblLayout w:type="fixed"/>
        <w:tblLook w:val="04A0" w:firstRow="1" w:lastRow="0" w:firstColumn="1" w:lastColumn="0" w:noHBand="0" w:noVBand="1"/>
      </w:tblPr>
      <w:tblGrid>
        <w:gridCol w:w="2473"/>
        <w:gridCol w:w="2928"/>
        <w:gridCol w:w="3525"/>
      </w:tblGrid>
      <w:tr w:rsidR="002860C2" w14:paraId="4FB7AC56" w14:textId="77777777" w:rsidTr="002860C2">
        <w:trPr>
          <w:trHeight w:val="720"/>
        </w:trPr>
        <w:tc>
          <w:tcPr>
            <w:tcW w:w="2473" w:type="dxa"/>
            <w:hideMark/>
          </w:tcPr>
          <w:p w14:paraId="7A68548E" w14:textId="77777777" w:rsidR="002860C2" w:rsidRDefault="002860C2">
            <w:pPr>
              <w:spacing w:line="300" w:lineRule="atLeast"/>
              <w:rPr>
                <w:rFonts w:ascii="Times New Roman" w:hAnsi="Times New Roman"/>
                <w:b/>
                <w:bCs/>
                <w:sz w:val="21"/>
                <w:szCs w:val="21"/>
              </w:rPr>
            </w:pPr>
            <w:r>
              <w:rPr>
                <w:b/>
                <w:bCs/>
                <w:sz w:val="21"/>
                <w:szCs w:val="21"/>
              </w:rPr>
              <w:t>Confidential GKE Nodes setting</w:t>
            </w:r>
          </w:p>
        </w:tc>
        <w:tc>
          <w:tcPr>
            <w:tcW w:w="2928" w:type="dxa"/>
            <w:hideMark/>
          </w:tcPr>
          <w:p w14:paraId="0F80B89C" w14:textId="77777777" w:rsidR="002860C2" w:rsidRDefault="002860C2">
            <w:pPr>
              <w:spacing w:line="300" w:lineRule="atLeast"/>
              <w:rPr>
                <w:b/>
                <w:bCs/>
                <w:sz w:val="21"/>
                <w:szCs w:val="21"/>
              </w:rPr>
            </w:pPr>
            <w:r>
              <w:rPr>
                <w:b/>
                <w:bCs/>
                <w:sz w:val="21"/>
                <w:szCs w:val="21"/>
              </w:rPr>
              <w:t>How to configure</w:t>
            </w:r>
          </w:p>
        </w:tc>
        <w:tc>
          <w:tcPr>
            <w:tcW w:w="3525" w:type="dxa"/>
            <w:hideMark/>
          </w:tcPr>
          <w:p w14:paraId="5836F73C" w14:textId="77777777" w:rsidR="002860C2" w:rsidRDefault="002860C2">
            <w:pPr>
              <w:spacing w:line="300" w:lineRule="atLeast"/>
              <w:rPr>
                <w:b/>
                <w:bCs/>
                <w:sz w:val="21"/>
                <w:szCs w:val="21"/>
              </w:rPr>
            </w:pPr>
            <w:r>
              <w:rPr>
                <w:b/>
                <w:bCs/>
                <w:sz w:val="21"/>
                <w:szCs w:val="21"/>
              </w:rPr>
              <w:t>Behavior</w:t>
            </w:r>
          </w:p>
        </w:tc>
      </w:tr>
      <w:tr w:rsidR="002860C2" w14:paraId="08C03268" w14:textId="77777777" w:rsidTr="002860C2">
        <w:tc>
          <w:tcPr>
            <w:tcW w:w="2473" w:type="dxa"/>
            <w:hideMark/>
          </w:tcPr>
          <w:p w14:paraId="545B3C87" w14:textId="77777777" w:rsidR="002860C2" w:rsidRDefault="002860C2">
            <w:pPr>
              <w:spacing w:line="300" w:lineRule="atLeast"/>
              <w:rPr>
                <w:sz w:val="21"/>
                <w:szCs w:val="21"/>
              </w:rPr>
            </w:pPr>
            <w:r>
              <w:rPr>
                <w:sz w:val="21"/>
                <w:szCs w:val="21"/>
              </w:rPr>
              <w:t>Cluster-level</w:t>
            </w:r>
          </w:p>
        </w:tc>
        <w:tc>
          <w:tcPr>
            <w:tcW w:w="2928" w:type="dxa"/>
            <w:hideMark/>
          </w:tcPr>
          <w:p w14:paraId="4B2DE65A" w14:textId="77777777" w:rsidR="002860C2" w:rsidRDefault="002860C2">
            <w:pPr>
              <w:spacing w:line="300" w:lineRule="atLeast"/>
              <w:rPr>
                <w:sz w:val="21"/>
                <w:szCs w:val="21"/>
              </w:rPr>
            </w:pPr>
            <w:r>
              <w:rPr>
                <w:sz w:val="21"/>
                <w:szCs w:val="21"/>
              </w:rPr>
              <w:t>Create a new cluster</w:t>
            </w:r>
          </w:p>
        </w:tc>
        <w:tc>
          <w:tcPr>
            <w:tcW w:w="3525" w:type="dxa"/>
            <w:hideMark/>
          </w:tcPr>
          <w:p w14:paraId="3AEAE655" w14:textId="77777777" w:rsidR="002860C2" w:rsidRDefault="002860C2">
            <w:pPr>
              <w:spacing w:line="300" w:lineRule="atLeast"/>
              <w:rPr>
                <w:sz w:val="21"/>
                <w:szCs w:val="21"/>
              </w:rPr>
            </w:pPr>
            <w:r>
              <w:rPr>
                <w:sz w:val="21"/>
                <w:szCs w:val="21"/>
              </w:rPr>
              <w:t>All nodes in the cluster in any node pool use Confidential GKE Nodes. You </w:t>
            </w:r>
            <w:r>
              <w:rPr>
                <w:rStyle w:val="Strong"/>
                <w:b w:val="0"/>
                <w:bCs w:val="0"/>
                <w:sz w:val="21"/>
                <w:szCs w:val="21"/>
              </w:rPr>
              <w:t>cannot</w:t>
            </w:r>
            <w:r>
              <w:rPr>
                <w:sz w:val="21"/>
                <w:szCs w:val="21"/>
              </w:rPr>
              <w:t> do the following:</w:t>
            </w:r>
          </w:p>
          <w:p w14:paraId="60932A56" w14:textId="77777777" w:rsidR="002860C2" w:rsidRDefault="002860C2" w:rsidP="002860C2">
            <w:pPr>
              <w:numPr>
                <w:ilvl w:val="0"/>
                <w:numId w:val="3"/>
              </w:numPr>
              <w:spacing w:before="180" w:after="180" w:line="300" w:lineRule="atLeast"/>
              <w:rPr>
                <w:sz w:val="21"/>
                <w:szCs w:val="21"/>
              </w:rPr>
            </w:pPr>
            <w:r>
              <w:rPr>
                <w:sz w:val="21"/>
                <w:szCs w:val="21"/>
              </w:rPr>
              <w:t>Disable Confidential GKE Nodes for a new or existing node pool in the cluster</w:t>
            </w:r>
          </w:p>
          <w:p w14:paraId="08CC0ED2" w14:textId="77777777" w:rsidR="002860C2" w:rsidRDefault="002860C2" w:rsidP="002860C2">
            <w:pPr>
              <w:numPr>
                <w:ilvl w:val="0"/>
                <w:numId w:val="3"/>
              </w:numPr>
              <w:spacing w:before="180" w:after="180" w:line="300" w:lineRule="atLeast"/>
              <w:rPr>
                <w:sz w:val="21"/>
                <w:szCs w:val="21"/>
              </w:rPr>
            </w:pPr>
            <w:r>
              <w:rPr>
                <w:sz w:val="21"/>
                <w:szCs w:val="21"/>
              </w:rPr>
              <w:t>Disable Confidential GKE Nodes on the cluster</w:t>
            </w:r>
          </w:p>
          <w:p w14:paraId="17613F25" w14:textId="77777777" w:rsidR="002860C2" w:rsidRDefault="002860C2" w:rsidP="002860C2">
            <w:pPr>
              <w:numPr>
                <w:ilvl w:val="0"/>
                <w:numId w:val="3"/>
              </w:numPr>
              <w:spacing w:before="180" w:line="300" w:lineRule="atLeast"/>
              <w:rPr>
                <w:sz w:val="21"/>
                <w:szCs w:val="21"/>
              </w:rPr>
            </w:pPr>
            <w:r>
              <w:rPr>
                <w:sz w:val="21"/>
                <w:szCs w:val="21"/>
              </w:rPr>
              <w:lastRenderedPageBreak/>
              <w:t>Enable Confidential GKE Nodes on existing clusters</w:t>
            </w:r>
          </w:p>
        </w:tc>
      </w:tr>
      <w:tr w:rsidR="002860C2" w14:paraId="00BF6EFC" w14:textId="77777777" w:rsidTr="002860C2">
        <w:tc>
          <w:tcPr>
            <w:tcW w:w="2473" w:type="dxa"/>
            <w:hideMark/>
          </w:tcPr>
          <w:p w14:paraId="505A6997" w14:textId="77777777" w:rsidR="002860C2" w:rsidRDefault="002860C2">
            <w:pPr>
              <w:spacing w:line="300" w:lineRule="atLeast"/>
              <w:rPr>
                <w:sz w:val="21"/>
                <w:szCs w:val="21"/>
              </w:rPr>
            </w:pPr>
            <w:r>
              <w:rPr>
                <w:sz w:val="21"/>
                <w:szCs w:val="21"/>
              </w:rPr>
              <w:lastRenderedPageBreak/>
              <w:t>Node pool level</w:t>
            </w:r>
          </w:p>
        </w:tc>
        <w:tc>
          <w:tcPr>
            <w:tcW w:w="2928" w:type="dxa"/>
            <w:hideMark/>
          </w:tcPr>
          <w:p w14:paraId="3791AD55" w14:textId="77777777" w:rsidR="002860C2" w:rsidRDefault="002860C2" w:rsidP="002860C2">
            <w:pPr>
              <w:numPr>
                <w:ilvl w:val="0"/>
                <w:numId w:val="4"/>
              </w:numPr>
              <w:spacing w:after="180" w:line="300" w:lineRule="atLeast"/>
              <w:rPr>
                <w:sz w:val="21"/>
                <w:szCs w:val="21"/>
              </w:rPr>
            </w:pPr>
            <w:r>
              <w:rPr>
                <w:sz w:val="21"/>
                <w:szCs w:val="21"/>
              </w:rPr>
              <w:t>Create a new node pool</w:t>
            </w:r>
          </w:p>
          <w:p w14:paraId="6AB369CC" w14:textId="77777777" w:rsidR="002860C2" w:rsidRDefault="002860C2" w:rsidP="002860C2">
            <w:pPr>
              <w:numPr>
                <w:ilvl w:val="0"/>
                <w:numId w:val="4"/>
              </w:numPr>
              <w:spacing w:before="180" w:line="300" w:lineRule="atLeast"/>
              <w:rPr>
                <w:sz w:val="21"/>
                <w:szCs w:val="21"/>
              </w:rPr>
            </w:pPr>
            <w:r>
              <w:rPr>
                <w:sz w:val="21"/>
                <w:szCs w:val="21"/>
              </w:rPr>
              <w:t>Update an existing node pool</w:t>
            </w:r>
          </w:p>
        </w:tc>
        <w:tc>
          <w:tcPr>
            <w:tcW w:w="3525" w:type="dxa"/>
            <w:hideMark/>
          </w:tcPr>
          <w:p w14:paraId="7FEEA1BB" w14:textId="77777777" w:rsidR="002860C2" w:rsidRDefault="002860C2">
            <w:pPr>
              <w:spacing w:line="300" w:lineRule="atLeast"/>
              <w:rPr>
                <w:sz w:val="21"/>
                <w:szCs w:val="21"/>
              </w:rPr>
            </w:pPr>
            <w:r>
              <w:rPr>
                <w:sz w:val="21"/>
                <w:szCs w:val="21"/>
              </w:rPr>
              <w:t>You can only configure Confidential GKE Nodes for node pools when this feature disabled at the cluster-level.</w:t>
            </w:r>
          </w:p>
        </w:tc>
      </w:tr>
    </w:tbl>
    <w:p w14:paraId="1E1D0961" w14:textId="77777777" w:rsidR="002860C2" w:rsidRDefault="002860C2"/>
    <w:sectPr w:rsidR="002860C2">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A0E1" w14:textId="77777777" w:rsidR="00F51F8C" w:rsidRDefault="00F51F8C" w:rsidP="002860C2">
      <w:r>
        <w:separator/>
      </w:r>
    </w:p>
  </w:endnote>
  <w:endnote w:type="continuationSeparator" w:id="0">
    <w:p w14:paraId="289B0E31" w14:textId="77777777" w:rsidR="00F51F8C" w:rsidRDefault="00F51F8C" w:rsidP="00286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77BD7" w14:textId="77777777" w:rsidR="002860C2" w:rsidRDefault="002860C2" w:rsidP="002860C2">
    <w:pPr>
      <w:pStyle w:val="Footer"/>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766A5957" w14:textId="77777777" w:rsidR="002860C2" w:rsidRDefault="002860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9A9DE" w14:textId="77777777" w:rsidR="00F51F8C" w:rsidRDefault="00F51F8C" w:rsidP="002860C2">
      <w:r>
        <w:separator/>
      </w:r>
    </w:p>
  </w:footnote>
  <w:footnote w:type="continuationSeparator" w:id="0">
    <w:p w14:paraId="7CD5DC94" w14:textId="77777777" w:rsidR="00F51F8C" w:rsidRDefault="00F51F8C" w:rsidP="002860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F63EC"/>
    <w:multiLevelType w:val="multilevel"/>
    <w:tmpl w:val="1D3C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3939F5"/>
    <w:multiLevelType w:val="multilevel"/>
    <w:tmpl w:val="64C0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A48AE"/>
    <w:multiLevelType w:val="multilevel"/>
    <w:tmpl w:val="E81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E2201C"/>
    <w:multiLevelType w:val="multilevel"/>
    <w:tmpl w:val="38BC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8965539">
    <w:abstractNumId w:val="1"/>
  </w:num>
  <w:num w:numId="2" w16cid:durableId="741752764">
    <w:abstractNumId w:val="3"/>
  </w:num>
  <w:num w:numId="3" w16cid:durableId="1497452384">
    <w:abstractNumId w:val="0"/>
  </w:num>
  <w:num w:numId="4" w16cid:durableId="1605531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0C2"/>
    <w:rsid w:val="002860C2"/>
    <w:rsid w:val="007B5105"/>
    <w:rsid w:val="00AE49E6"/>
    <w:rsid w:val="00F51F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F28A543"/>
  <w15:chartTrackingRefBased/>
  <w15:docId w15:val="{0AB4A027-9289-414A-AB2F-C5EA6156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Body CS)"/>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link w:val="Heading1Char"/>
    <w:uiPriority w:val="9"/>
    <w:qFormat/>
    <w:rsid w:val="002860C2"/>
    <w:pPr>
      <w:spacing w:before="100" w:beforeAutospacing="1" w:after="100" w:afterAutospacing="1"/>
      <w:outlineLvl w:val="0"/>
    </w:pPr>
    <w:rPr>
      <w:rFonts w:ascii="Times New Roman" w:eastAsia="Times New Roman" w:hAnsi="Times New Roman" w:cs="Times New Roman"/>
      <w:b/>
      <w:bCs/>
      <w:kern w:val="36"/>
      <w:sz w:val="48"/>
      <w:szCs w:val="48"/>
      <w:lang w:val="en-IN"/>
    </w:rPr>
  </w:style>
  <w:style w:type="paragraph" w:styleId="Heading2">
    <w:name w:val="heading 2"/>
    <w:basedOn w:val="Normal"/>
    <w:next w:val="Normal"/>
    <w:link w:val="Heading2Char"/>
    <w:uiPriority w:val="9"/>
    <w:semiHidden/>
    <w:unhideWhenUsed/>
    <w:qFormat/>
    <w:rsid w:val="002860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860C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0C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860C2"/>
    <w:pPr>
      <w:spacing w:before="100" w:beforeAutospacing="1" w:after="100" w:afterAutospacing="1"/>
    </w:pPr>
    <w:rPr>
      <w:rFonts w:ascii="Times New Roman" w:eastAsia="Times New Roman" w:hAnsi="Times New Roman" w:cs="Times New Roman"/>
      <w:sz w:val="24"/>
      <w:szCs w:val="24"/>
      <w:lang w:val="en-IN"/>
    </w:rPr>
  </w:style>
  <w:style w:type="character" w:customStyle="1" w:styleId="Heading3Char">
    <w:name w:val="Heading 3 Char"/>
    <w:basedOn w:val="DefaultParagraphFont"/>
    <w:link w:val="Heading3"/>
    <w:uiPriority w:val="9"/>
    <w:semiHidden/>
    <w:rsid w:val="002860C2"/>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2860C2"/>
    <w:rPr>
      <w:rFonts w:asciiTheme="majorHAnsi" w:eastAsiaTheme="majorEastAsia" w:hAnsiTheme="majorHAnsi" w:cstheme="majorBidi"/>
      <w:color w:val="2F5496" w:themeColor="accent1" w:themeShade="BF"/>
      <w:sz w:val="26"/>
      <w:szCs w:val="26"/>
      <w:lang w:val="en-US"/>
    </w:rPr>
  </w:style>
  <w:style w:type="character" w:customStyle="1" w:styleId="cws-headline--headline-6">
    <w:name w:val="cws-headline--headline-6"/>
    <w:basedOn w:val="DefaultParagraphFont"/>
    <w:rsid w:val="002860C2"/>
  </w:style>
  <w:style w:type="character" w:customStyle="1" w:styleId="cws-body">
    <w:name w:val="cws-body"/>
    <w:basedOn w:val="DefaultParagraphFont"/>
    <w:rsid w:val="002860C2"/>
  </w:style>
  <w:style w:type="character" w:styleId="Hyperlink">
    <w:name w:val="Hyperlink"/>
    <w:basedOn w:val="DefaultParagraphFont"/>
    <w:uiPriority w:val="99"/>
    <w:semiHidden/>
    <w:unhideWhenUsed/>
    <w:rsid w:val="002860C2"/>
    <w:rPr>
      <w:color w:val="0000FF"/>
      <w:u w:val="single"/>
    </w:rPr>
  </w:style>
  <w:style w:type="table" w:styleId="TableGrid">
    <w:name w:val="Table Grid"/>
    <w:basedOn w:val="TableNormal"/>
    <w:uiPriority w:val="39"/>
    <w:rsid w:val="00286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vsite-heading">
    <w:name w:val="devsite-heading"/>
    <w:basedOn w:val="DefaultParagraphFont"/>
    <w:rsid w:val="002860C2"/>
  </w:style>
  <w:style w:type="character" w:styleId="Strong">
    <w:name w:val="Strong"/>
    <w:basedOn w:val="DefaultParagraphFont"/>
    <w:uiPriority w:val="22"/>
    <w:qFormat/>
    <w:rsid w:val="002860C2"/>
    <w:rPr>
      <w:b/>
      <w:bCs/>
    </w:rPr>
  </w:style>
  <w:style w:type="paragraph" w:styleId="Header">
    <w:name w:val="header"/>
    <w:basedOn w:val="Normal"/>
    <w:link w:val="HeaderChar"/>
    <w:uiPriority w:val="99"/>
    <w:unhideWhenUsed/>
    <w:rsid w:val="002860C2"/>
    <w:pPr>
      <w:tabs>
        <w:tab w:val="center" w:pos="4680"/>
        <w:tab w:val="right" w:pos="9360"/>
      </w:tabs>
    </w:pPr>
  </w:style>
  <w:style w:type="character" w:customStyle="1" w:styleId="HeaderChar">
    <w:name w:val="Header Char"/>
    <w:basedOn w:val="DefaultParagraphFont"/>
    <w:link w:val="Header"/>
    <w:uiPriority w:val="99"/>
    <w:rsid w:val="002860C2"/>
    <w:rPr>
      <w:lang w:val="en-US"/>
    </w:rPr>
  </w:style>
  <w:style w:type="paragraph" w:styleId="Footer">
    <w:name w:val="footer"/>
    <w:basedOn w:val="Normal"/>
    <w:link w:val="FooterChar"/>
    <w:uiPriority w:val="99"/>
    <w:unhideWhenUsed/>
    <w:rsid w:val="002860C2"/>
    <w:pPr>
      <w:tabs>
        <w:tab w:val="center" w:pos="4680"/>
        <w:tab w:val="right" w:pos="9360"/>
      </w:tabs>
    </w:pPr>
  </w:style>
  <w:style w:type="character" w:customStyle="1" w:styleId="FooterChar">
    <w:name w:val="Footer Char"/>
    <w:basedOn w:val="DefaultParagraphFont"/>
    <w:link w:val="Footer"/>
    <w:uiPriority w:val="99"/>
    <w:rsid w:val="002860C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511">
      <w:bodyDiv w:val="1"/>
      <w:marLeft w:val="0"/>
      <w:marRight w:val="0"/>
      <w:marTop w:val="0"/>
      <w:marBottom w:val="0"/>
      <w:divBdr>
        <w:top w:val="none" w:sz="0" w:space="0" w:color="auto"/>
        <w:left w:val="none" w:sz="0" w:space="0" w:color="auto"/>
        <w:bottom w:val="none" w:sz="0" w:space="0" w:color="auto"/>
        <w:right w:val="none" w:sz="0" w:space="0" w:color="auto"/>
      </w:divBdr>
    </w:div>
    <w:div w:id="755785938">
      <w:bodyDiv w:val="1"/>
      <w:marLeft w:val="0"/>
      <w:marRight w:val="0"/>
      <w:marTop w:val="0"/>
      <w:marBottom w:val="0"/>
      <w:divBdr>
        <w:top w:val="none" w:sz="0" w:space="0" w:color="auto"/>
        <w:left w:val="none" w:sz="0" w:space="0" w:color="auto"/>
        <w:bottom w:val="none" w:sz="0" w:space="0" w:color="auto"/>
        <w:right w:val="none" w:sz="0" w:space="0" w:color="auto"/>
      </w:divBdr>
    </w:div>
    <w:div w:id="943809288">
      <w:bodyDiv w:val="1"/>
      <w:marLeft w:val="0"/>
      <w:marRight w:val="0"/>
      <w:marTop w:val="0"/>
      <w:marBottom w:val="0"/>
      <w:divBdr>
        <w:top w:val="none" w:sz="0" w:space="0" w:color="auto"/>
        <w:left w:val="none" w:sz="0" w:space="0" w:color="auto"/>
        <w:bottom w:val="none" w:sz="0" w:space="0" w:color="auto"/>
        <w:right w:val="none" w:sz="0" w:space="0" w:color="auto"/>
      </w:divBdr>
      <w:divsChild>
        <w:div w:id="59789993">
          <w:marLeft w:val="0"/>
          <w:marRight w:val="0"/>
          <w:marTop w:val="0"/>
          <w:marBottom w:val="0"/>
          <w:divBdr>
            <w:top w:val="none" w:sz="0" w:space="0" w:color="auto"/>
            <w:left w:val="none" w:sz="0" w:space="0" w:color="auto"/>
            <w:bottom w:val="none" w:sz="0" w:space="0" w:color="auto"/>
            <w:right w:val="none" w:sz="0" w:space="0" w:color="auto"/>
          </w:divBdr>
          <w:divsChild>
            <w:div w:id="1602569474">
              <w:marLeft w:val="0"/>
              <w:marRight w:val="0"/>
              <w:marTop w:val="0"/>
              <w:marBottom w:val="540"/>
              <w:divBdr>
                <w:top w:val="none" w:sz="0" w:space="0" w:color="auto"/>
                <w:left w:val="none" w:sz="0" w:space="0" w:color="auto"/>
                <w:bottom w:val="none" w:sz="0" w:space="0" w:color="auto"/>
                <w:right w:val="none" w:sz="0" w:space="0" w:color="auto"/>
              </w:divBdr>
              <w:divsChild>
                <w:div w:id="2071616087">
                  <w:marLeft w:val="0"/>
                  <w:marRight w:val="0"/>
                  <w:marTop w:val="0"/>
                  <w:marBottom w:val="0"/>
                  <w:divBdr>
                    <w:top w:val="none" w:sz="0" w:space="0" w:color="auto"/>
                    <w:left w:val="none" w:sz="0" w:space="0" w:color="auto"/>
                    <w:bottom w:val="none" w:sz="0" w:space="0" w:color="auto"/>
                    <w:right w:val="none" w:sz="0" w:space="0" w:color="auto"/>
                  </w:divBdr>
                  <w:divsChild>
                    <w:div w:id="13358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06912">
          <w:marLeft w:val="0"/>
          <w:marRight w:val="0"/>
          <w:marTop w:val="0"/>
          <w:marBottom w:val="0"/>
          <w:divBdr>
            <w:top w:val="none" w:sz="0" w:space="0" w:color="auto"/>
            <w:left w:val="none" w:sz="0" w:space="0" w:color="auto"/>
            <w:bottom w:val="none" w:sz="0" w:space="0" w:color="auto"/>
            <w:right w:val="none" w:sz="0" w:space="0" w:color="auto"/>
          </w:divBdr>
          <w:divsChild>
            <w:div w:id="725879630">
              <w:marLeft w:val="0"/>
              <w:marRight w:val="0"/>
              <w:marTop w:val="0"/>
              <w:marBottom w:val="0"/>
              <w:divBdr>
                <w:top w:val="none" w:sz="0" w:space="0" w:color="auto"/>
                <w:left w:val="none" w:sz="0" w:space="0" w:color="auto"/>
                <w:bottom w:val="none" w:sz="0" w:space="0" w:color="auto"/>
                <w:right w:val="none" w:sz="0" w:space="0" w:color="auto"/>
              </w:divBdr>
              <w:divsChild>
                <w:div w:id="1865825601">
                  <w:marLeft w:val="0"/>
                  <w:marRight w:val="0"/>
                  <w:marTop w:val="0"/>
                  <w:marBottom w:val="540"/>
                  <w:divBdr>
                    <w:top w:val="none" w:sz="0" w:space="0" w:color="auto"/>
                    <w:left w:val="none" w:sz="0" w:space="0" w:color="auto"/>
                    <w:bottom w:val="none" w:sz="0" w:space="0" w:color="auto"/>
                    <w:right w:val="none" w:sz="0" w:space="0" w:color="auto"/>
                  </w:divBdr>
                  <w:divsChild>
                    <w:div w:id="855925056">
                      <w:marLeft w:val="0"/>
                      <w:marRight w:val="0"/>
                      <w:marTop w:val="0"/>
                      <w:marBottom w:val="0"/>
                      <w:divBdr>
                        <w:top w:val="none" w:sz="0" w:space="0" w:color="auto"/>
                        <w:left w:val="none" w:sz="0" w:space="0" w:color="auto"/>
                        <w:bottom w:val="none" w:sz="0" w:space="0" w:color="auto"/>
                        <w:right w:val="none" w:sz="0" w:space="0" w:color="auto"/>
                      </w:divBdr>
                      <w:divsChild>
                        <w:div w:id="1910310390">
                          <w:marLeft w:val="0"/>
                          <w:marRight w:val="0"/>
                          <w:marTop w:val="0"/>
                          <w:marBottom w:val="0"/>
                          <w:divBdr>
                            <w:top w:val="none" w:sz="0" w:space="0" w:color="auto"/>
                            <w:left w:val="none" w:sz="0" w:space="0" w:color="auto"/>
                            <w:bottom w:val="none" w:sz="0" w:space="0" w:color="auto"/>
                            <w:right w:val="none" w:sz="0" w:space="0" w:color="auto"/>
                          </w:divBdr>
                          <w:divsChild>
                            <w:div w:id="84174856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860709060">
                  <w:marLeft w:val="0"/>
                  <w:marRight w:val="0"/>
                  <w:marTop w:val="0"/>
                  <w:marBottom w:val="540"/>
                  <w:divBdr>
                    <w:top w:val="none" w:sz="0" w:space="0" w:color="auto"/>
                    <w:left w:val="none" w:sz="0" w:space="0" w:color="auto"/>
                    <w:bottom w:val="none" w:sz="0" w:space="0" w:color="auto"/>
                    <w:right w:val="none" w:sz="0" w:space="0" w:color="auto"/>
                  </w:divBdr>
                  <w:divsChild>
                    <w:div w:id="2130123145">
                      <w:marLeft w:val="0"/>
                      <w:marRight w:val="0"/>
                      <w:marTop w:val="0"/>
                      <w:marBottom w:val="0"/>
                      <w:divBdr>
                        <w:top w:val="none" w:sz="0" w:space="0" w:color="auto"/>
                        <w:left w:val="none" w:sz="0" w:space="0" w:color="auto"/>
                        <w:bottom w:val="none" w:sz="0" w:space="0" w:color="auto"/>
                        <w:right w:val="none" w:sz="0" w:space="0" w:color="auto"/>
                      </w:divBdr>
                      <w:divsChild>
                        <w:div w:id="1988777323">
                          <w:marLeft w:val="0"/>
                          <w:marRight w:val="0"/>
                          <w:marTop w:val="0"/>
                          <w:marBottom w:val="0"/>
                          <w:divBdr>
                            <w:top w:val="none" w:sz="0" w:space="0" w:color="auto"/>
                            <w:left w:val="none" w:sz="0" w:space="0" w:color="auto"/>
                            <w:bottom w:val="none" w:sz="0" w:space="0" w:color="auto"/>
                            <w:right w:val="none" w:sz="0" w:space="0" w:color="auto"/>
                          </w:divBdr>
                          <w:divsChild>
                            <w:div w:id="6646207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430783233">
                  <w:marLeft w:val="0"/>
                  <w:marRight w:val="0"/>
                  <w:marTop w:val="0"/>
                  <w:marBottom w:val="540"/>
                  <w:divBdr>
                    <w:top w:val="none" w:sz="0" w:space="0" w:color="auto"/>
                    <w:left w:val="none" w:sz="0" w:space="0" w:color="auto"/>
                    <w:bottom w:val="none" w:sz="0" w:space="0" w:color="auto"/>
                    <w:right w:val="none" w:sz="0" w:space="0" w:color="auto"/>
                  </w:divBdr>
                  <w:divsChild>
                    <w:div w:id="469908945">
                      <w:marLeft w:val="0"/>
                      <w:marRight w:val="0"/>
                      <w:marTop w:val="0"/>
                      <w:marBottom w:val="0"/>
                      <w:divBdr>
                        <w:top w:val="none" w:sz="0" w:space="0" w:color="auto"/>
                        <w:left w:val="none" w:sz="0" w:space="0" w:color="auto"/>
                        <w:bottom w:val="none" w:sz="0" w:space="0" w:color="auto"/>
                        <w:right w:val="none" w:sz="0" w:space="0" w:color="auto"/>
                      </w:divBdr>
                      <w:divsChild>
                        <w:div w:id="52656084">
                          <w:marLeft w:val="0"/>
                          <w:marRight w:val="0"/>
                          <w:marTop w:val="0"/>
                          <w:marBottom w:val="0"/>
                          <w:divBdr>
                            <w:top w:val="none" w:sz="0" w:space="0" w:color="auto"/>
                            <w:left w:val="none" w:sz="0" w:space="0" w:color="auto"/>
                            <w:bottom w:val="none" w:sz="0" w:space="0" w:color="auto"/>
                            <w:right w:val="none" w:sz="0" w:space="0" w:color="auto"/>
                          </w:divBdr>
                          <w:divsChild>
                            <w:div w:id="16534869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8021306">
      <w:bodyDiv w:val="1"/>
      <w:marLeft w:val="0"/>
      <w:marRight w:val="0"/>
      <w:marTop w:val="0"/>
      <w:marBottom w:val="0"/>
      <w:divBdr>
        <w:top w:val="none" w:sz="0" w:space="0" w:color="auto"/>
        <w:left w:val="none" w:sz="0" w:space="0" w:color="auto"/>
        <w:bottom w:val="none" w:sz="0" w:space="0" w:color="auto"/>
        <w:right w:val="none" w:sz="0" w:space="0" w:color="auto"/>
      </w:divBdr>
      <w:divsChild>
        <w:div w:id="1205950743">
          <w:marLeft w:val="0"/>
          <w:marRight w:val="0"/>
          <w:marTop w:val="0"/>
          <w:marBottom w:val="0"/>
          <w:divBdr>
            <w:top w:val="none" w:sz="0" w:space="0" w:color="auto"/>
            <w:left w:val="none" w:sz="0" w:space="0" w:color="auto"/>
            <w:bottom w:val="none" w:sz="0" w:space="0" w:color="auto"/>
            <w:right w:val="none" w:sz="0" w:space="0" w:color="auto"/>
          </w:divBdr>
        </w:div>
        <w:div w:id="1128625622">
          <w:marLeft w:val="0"/>
          <w:marRight w:val="0"/>
          <w:marTop w:val="240"/>
          <w:marBottom w:val="0"/>
          <w:divBdr>
            <w:top w:val="none" w:sz="0" w:space="0" w:color="auto"/>
            <w:left w:val="none" w:sz="0" w:space="0" w:color="auto"/>
            <w:bottom w:val="none" w:sz="0" w:space="0" w:color="auto"/>
            <w:right w:val="none" w:sz="0" w:space="0" w:color="auto"/>
          </w:divBdr>
          <w:divsChild>
            <w:div w:id="164110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8230">
      <w:bodyDiv w:val="1"/>
      <w:marLeft w:val="0"/>
      <w:marRight w:val="0"/>
      <w:marTop w:val="0"/>
      <w:marBottom w:val="0"/>
      <w:divBdr>
        <w:top w:val="none" w:sz="0" w:space="0" w:color="auto"/>
        <w:left w:val="none" w:sz="0" w:space="0" w:color="auto"/>
        <w:bottom w:val="none" w:sz="0" w:space="0" w:color="auto"/>
        <w:right w:val="none" w:sz="0" w:space="0" w:color="auto"/>
      </w:divBdr>
      <w:divsChild>
        <w:div w:id="1566060996">
          <w:marLeft w:val="0"/>
          <w:marRight w:val="0"/>
          <w:marTop w:val="0"/>
          <w:marBottom w:val="0"/>
          <w:divBdr>
            <w:top w:val="none" w:sz="0" w:space="0" w:color="auto"/>
            <w:left w:val="none" w:sz="0" w:space="0" w:color="auto"/>
            <w:bottom w:val="none" w:sz="0" w:space="0" w:color="auto"/>
            <w:right w:val="none" w:sz="0" w:space="0" w:color="auto"/>
          </w:divBdr>
          <w:divsChild>
            <w:div w:id="1715620711">
              <w:marLeft w:val="0"/>
              <w:marRight w:val="0"/>
              <w:marTop w:val="0"/>
              <w:marBottom w:val="0"/>
              <w:divBdr>
                <w:top w:val="single" w:sz="6" w:space="27" w:color="DBDCE0"/>
                <w:left w:val="single" w:sz="6" w:space="27" w:color="DBDCE0"/>
                <w:bottom w:val="single" w:sz="6" w:space="27" w:color="DBDCE0"/>
                <w:right w:val="single" w:sz="6" w:space="27" w:color="DBDCE0"/>
              </w:divBdr>
              <w:divsChild>
                <w:div w:id="411633148">
                  <w:marLeft w:val="0"/>
                  <w:marRight w:val="0"/>
                  <w:marTop w:val="0"/>
                  <w:marBottom w:val="0"/>
                  <w:divBdr>
                    <w:top w:val="none" w:sz="0" w:space="0" w:color="auto"/>
                    <w:left w:val="none" w:sz="0" w:space="0" w:color="auto"/>
                    <w:bottom w:val="none" w:sz="0" w:space="0" w:color="auto"/>
                    <w:right w:val="none" w:sz="0" w:space="0" w:color="auto"/>
                  </w:divBdr>
                  <w:divsChild>
                    <w:div w:id="1142501613">
                      <w:marLeft w:val="0"/>
                      <w:marRight w:val="0"/>
                      <w:marTop w:val="0"/>
                      <w:marBottom w:val="0"/>
                      <w:divBdr>
                        <w:top w:val="none" w:sz="0" w:space="0" w:color="auto"/>
                        <w:left w:val="none" w:sz="0" w:space="0" w:color="auto"/>
                        <w:bottom w:val="none" w:sz="0" w:space="0" w:color="auto"/>
                        <w:right w:val="none" w:sz="0" w:space="0" w:color="auto"/>
                      </w:divBdr>
                      <w:divsChild>
                        <w:div w:id="1933588712">
                          <w:marLeft w:val="0"/>
                          <w:marRight w:val="0"/>
                          <w:marTop w:val="0"/>
                          <w:marBottom w:val="0"/>
                          <w:divBdr>
                            <w:top w:val="none" w:sz="0" w:space="0" w:color="auto"/>
                            <w:left w:val="none" w:sz="0" w:space="0" w:color="auto"/>
                            <w:bottom w:val="none" w:sz="0" w:space="0" w:color="auto"/>
                            <w:right w:val="none" w:sz="0" w:space="0" w:color="auto"/>
                          </w:divBdr>
                          <w:divsChild>
                            <w:div w:id="795649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1319193350">
                  <w:marLeft w:val="0"/>
                  <w:marRight w:val="0"/>
                  <w:marTop w:val="0"/>
                  <w:marBottom w:val="0"/>
                  <w:divBdr>
                    <w:top w:val="none" w:sz="0" w:space="0" w:color="auto"/>
                    <w:left w:val="none" w:sz="0" w:space="0" w:color="auto"/>
                    <w:bottom w:val="none" w:sz="0" w:space="0" w:color="auto"/>
                    <w:right w:val="none" w:sz="0" w:space="0" w:color="auto"/>
                  </w:divBdr>
                  <w:divsChild>
                    <w:div w:id="2059620980">
                      <w:marLeft w:val="0"/>
                      <w:marRight w:val="0"/>
                      <w:marTop w:val="0"/>
                      <w:marBottom w:val="0"/>
                      <w:divBdr>
                        <w:top w:val="none" w:sz="0" w:space="0" w:color="auto"/>
                        <w:left w:val="none" w:sz="0" w:space="0" w:color="auto"/>
                        <w:bottom w:val="none" w:sz="0" w:space="0" w:color="auto"/>
                        <w:right w:val="none" w:sz="0" w:space="0" w:color="auto"/>
                      </w:divBdr>
                      <w:divsChild>
                        <w:div w:id="1302423362">
                          <w:marLeft w:val="0"/>
                          <w:marRight w:val="0"/>
                          <w:marTop w:val="0"/>
                          <w:marBottom w:val="0"/>
                          <w:divBdr>
                            <w:top w:val="none" w:sz="0" w:space="0" w:color="auto"/>
                            <w:left w:val="none" w:sz="0" w:space="0" w:color="auto"/>
                            <w:bottom w:val="none" w:sz="0" w:space="0" w:color="auto"/>
                            <w:right w:val="none" w:sz="0" w:space="0" w:color="auto"/>
                          </w:divBdr>
                          <w:divsChild>
                            <w:div w:id="54376145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 w:id="903175591">
                  <w:marLeft w:val="0"/>
                  <w:marRight w:val="0"/>
                  <w:marTop w:val="0"/>
                  <w:marBottom w:val="0"/>
                  <w:divBdr>
                    <w:top w:val="none" w:sz="0" w:space="0" w:color="auto"/>
                    <w:left w:val="none" w:sz="0" w:space="0" w:color="auto"/>
                    <w:bottom w:val="none" w:sz="0" w:space="0" w:color="auto"/>
                    <w:right w:val="none" w:sz="0" w:space="0" w:color="auto"/>
                  </w:divBdr>
                  <w:divsChild>
                    <w:div w:id="308898928">
                      <w:marLeft w:val="0"/>
                      <w:marRight w:val="0"/>
                      <w:marTop w:val="0"/>
                      <w:marBottom w:val="0"/>
                      <w:divBdr>
                        <w:top w:val="none" w:sz="0" w:space="0" w:color="auto"/>
                        <w:left w:val="none" w:sz="0" w:space="0" w:color="auto"/>
                        <w:bottom w:val="none" w:sz="0" w:space="0" w:color="auto"/>
                        <w:right w:val="none" w:sz="0" w:space="0" w:color="auto"/>
                      </w:divBdr>
                      <w:divsChild>
                        <w:div w:id="437867750">
                          <w:marLeft w:val="0"/>
                          <w:marRight w:val="0"/>
                          <w:marTop w:val="0"/>
                          <w:marBottom w:val="0"/>
                          <w:divBdr>
                            <w:top w:val="none" w:sz="0" w:space="0" w:color="auto"/>
                            <w:left w:val="none" w:sz="0" w:space="0" w:color="auto"/>
                            <w:bottom w:val="none" w:sz="0" w:space="0" w:color="auto"/>
                            <w:right w:val="none" w:sz="0" w:space="0" w:color="auto"/>
                          </w:divBdr>
                          <w:divsChild>
                            <w:div w:id="12265986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78265">
      <w:bodyDiv w:val="1"/>
      <w:marLeft w:val="0"/>
      <w:marRight w:val="0"/>
      <w:marTop w:val="0"/>
      <w:marBottom w:val="0"/>
      <w:divBdr>
        <w:top w:val="none" w:sz="0" w:space="0" w:color="auto"/>
        <w:left w:val="none" w:sz="0" w:space="0" w:color="auto"/>
        <w:bottom w:val="none" w:sz="0" w:space="0" w:color="auto"/>
        <w:right w:val="none" w:sz="0" w:space="0" w:color="auto"/>
      </w:divBdr>
    </w:div>
    <w:div w:id="1498575950">
      <w:bodyDiv w:val="1"/>
      <w:marLeft w:val="0"/>
      <w:marRight w:val="0"/>
      <w:marTop w:val="0"/>
      <w:marBottom w:val="0"/>
      <w:divBdr>
        <w:top w:val="none" w:sz="0" w:space="0" w:color="auto"/>
        <w:left w:val="none" w:sz="0" w:space="0" w:color="auto"/>
        <w:bottom w:val="none" w:sz="0" w:space="0" w:color="auto"/>
        <w:right w:val="none" w:sz="0" w:space="0" w:color="auto"/>
      </w:divBdr>
      <w:divsChild>
        <w:div w:id="851650058">
          <w:marLeft w:val="0"/>
          <w:marRight w:val="0"/>
          <w:marTop w:val="0"/>
          <w:marBottom w:val="0"/>
          <w:divBdr>
            <w:top w:val="none" w:sz="0" w:space="0" w:color="auto"/>
            <w:left w:val="none" w:sz="0" w:space="0" w:color="auto"/>
            <w:bottom w:val="none" w:sz="0" w:space="0" w:color="auto"/>
            <w:right w:val="none" w:sz="0" w:space="0" w:color="auto"/>
          </w:divBdr>
        </w:div>
      </w:divsChild>
    </w:div>
    <w:div w:id="1818180601">
      <w:bodyDiv w:val="1"/>
      <w:marLeft w:val="0"/>
      <w:marRight w:val="0"/>
      <w:marTop w:val="0"/>
      <w:marBottom w:val="0"/>
      <w:divBdr>
        <w:top w:val="none" w:sz="0" w:space="0" w:color="auto"/>
        <w:left w:val="none" w:sz="0" w:space="0" w:color="auto"/>
        <w:bottom w:val="none" w:sz="0" w:space="0" w:color="auto"/>
        <w:right w:val="none" w:sz="0" w:space="0" w:color="auto"/>
      </w:divBdr>
      <w:divsChild>
        <w:div w:id="1958634302">
          <w:marLeft w:val="0"/>
          <w:marRight w:val="0"/>
          <w:marTop w:val="0"/>
          <w:marBottom w:val="0"/>
          <w:divBdr>
            <w:top w:val="none" w:sz="0" w:space="0" w:color="auto"/>
            <w:left w:val="none" w:sz="0" w:space="0" w:color="auto"/>
            <w:bottom w:val="none" w:sz="0" w:space="0" w:color="auto"/>
            <w:right w:val="none" w:sz="0" w:space="0" w:color="auto"/>
          </w:divBdr>
        </w:div>
      </w:divsChild>
    </w:div>
    <w:div w:id="1831170690">
      <w:bodyDiv w:val="1"/>
      <w:marLeft w:val="0"/>
      <w:marRight w:val="0"/>
      <w:marTop w:val="0"/>
      <w:marBottom w:val="0"/>
      <w:divBdr>
        <w:top w:val="none" w:sz="0" w:space="0" w:color="auto"/>
        <w:left w:val="none" w:sz="0" w:space="0" w:color="auto"/>
        <w:bottom w:val="none" w:sz="0" w:space="0" w:color="auto"/>
        <w:right w:val="none" w:sz="0" w:space="0" w:color="auto"/>
      </w:divBdr>
      <w:divsChild>
        <w:div w:id="302345423">
          <w:marLeft w:val="0"/>
          <w:marRight w:val="0"/>
          <w:marTop w:val="0"/>
          <w:marBottom w:val="540"/>
          <w:divBdr>
            <w:top w:val="none" w:sz="0" w:space="0" w:color="auto"/>
            <w:left w:val="none" w:sz="0" w:space="0" w:color="auto"/>
            <w:bottom w:val="none" w:sz="0" w:space="0" w:color="auto"/>
            <w:right w:val="none" w:sz="0" w:space="0" w:color="auto"/>
          </w:divBdr>
        </w:div>
        <w:div w:id="1248854205">
          <w:marLeft w:val="0"/>
          <w:marRight w:val="0"/>
          <w:marTop w:val="0"/>
          <w:marBottom w:val="0"/>
          <w:divBdr>
            <w:top w:val="none" w:sz="0" w:space="0" w:color="auto"/>
            <w:left w:val="none" w:sz="0" w:space="0" w:color="auto"/>
            <w:bottom w:val="none" w:sz="0" w:space="0" w:color="auto"/>
            <w:right w:val="none" w:sz="0" w:space="0" w:color="auto"/>
          </w:divBdr>
          <w:divsChild>
            <w:div w:id="11447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d.com/en/processors/server-tech-docs/search?f%5B0%5D=server_document_category%3A16466?utm_campaign=cloudgooglesolutions&amp;utm_medium=redirect&amp;utm_source=30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confidential-computi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cloud.google.com/access-transparency" TargetMode="External"/><Relationship Id="rId4" Type="http://schemas.openxmlformats.org/officeDocument/2006/relationships/webSettings" Target="webSettings.xml"/><Relationship Id="rId9" Type="http://schemas.openxmlformats.org/officeDocument/2006/relationships/hyperlink" Target="https://cloud.google.com/compute/confidential-vm/docs/about-cv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2022-10-04T23:09:00Z</dcterms:created>
  <dcterms:modified xsi:type="dcterms:W3CDTF">2022-10-04T23:16:00Z</dcterms:modified>
</cp:coreProperties>
</file>