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E96" w:rsidRDefault="00811CEF" w:rsidP="00811CEF">
      <w:pPr>
        <w:shd w:val="clear" w:color="auto" w:fill="FFFFFF"/>
        <w:spacing w:after="120" w:line="240" w:lineRule="auto"/>
        <w:outlineLvl w:val="4"/>
      </w:pPr>
      <w:r w:rsidRPr="00811CEF">
        <w:rPr>
          <w:rFonts w:ascii="Verdana" w:eastAsia="Times New Roman" w:hAnsi="Verdana"/>
          <w:b/>
          <w:bCs/>
          <w:color w:val="000000"/>
          <w:sz w:val="28"/>
          <w:szCs w:val="28"/>
        </w:rPr>
        <w:t>Understanding the SQL Server NOLOCK hint</w:t>
      </w:r>
    </w:p>
    <w:p w:rsidR="001F7A5B" w:rsidRPr="001F7A5B" w:rsidRDefault="001F7A5B" w:rsidP="00811CEF">
      <w:pPr>
        <w:shd w:val="clear" w:color="auto" w:fill="FFFFFF"/>
        <w:spacing w:before="100" w:beforeAutospacing="1" w:after="100" w:afterAutospacing="1" w:line="240" w:lineRule="auto"/>
        <w:rPr>
          <w:rFonts w:ascii="Verdana" w:eastAsia="Times New Roman" w:hAnsi="Verdana"/>
          <w:b/>
          <w:bCs/>
          <w:sz w:val="20"/>
          <w:szCs w:val="20"/>
        </w:rPr>
      </w:pPr>
      <w:r w:rsidRPr="001F7A5B">
        <w:rPr>
          <w:rFonts w:ascii="Verdana" w:eastAsia="Times New Roman" w:hAnsi="Verdana"/>
          <w:b/>
          <w:bCs/>
          <w:sz w:val="20"/>
          <w:szCs w:val="20"/>
        </w:rPr>
        <w:t>Example</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These queries are run against the AdventureWorks database.</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Here is a query that returns all of the data from the Person.Contact table. If I run this query I can see there is only one record that has a Suffix value for ContactID = 12.</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xml:space="preserve">SELECT * FROM Person.Contact WHERE ContactID &lt; 20 </w:t>
      </w:r>
    </w:p>
    <w:p w:rsidR="00811CEF" w:rsidRPr="00811CEF" w:rsidRDefault="00DD7029"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noProof/>
          <w:sz w:val="20"/>
          <w:szCs w:val="20"/>
        </w:rPr>
        <w:drawing>
          <wp:inline distT="0" distB="0" distL="0" distR="0">
            <wp:extent cx="5935980" cy="3133090"/>
            <wp:effectExtent l="0" t="0" r="0" b="0"/>
            <wp:docPr id="1" name="Picture 6" descr="use of the nolock(aka readuncommited) h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 of the nolock(aka readuncommited) hint"/>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33090"/>
                    </a:xfrm>
                    <a:prstGeom prst="rect">
                      <a:avLst/>
                    </a:prstGeom>
                    <a:noFill/>
                    <a:ln>
                      <a:noFill/>
                    </a:ln>
                  </pic:spPr>
                </pic:pic>
              </a:graphicData>
            </a:graphic>
          </wp:inline>
        </w:drawing>
      </w:r>
    </w:p>
    <w:p w:rsidR="00A1555D" w:rsidRDefault="00A1555D" w:rsidP="00811CEF">
      <w:pPr>
        <w:shd w:val="clear" w:color="auto" w:fill="FFFFFF"/>
        <w:spacing w:before="100" w:beforeAutospacing="1" w:after="100" w:afterAutospacing="1" w:line="240" w:lineRule="auto"/>
        <w:rPr>
          <w:rFonts w:ascii="Verdana" w:eastAsia="Times New Roman" w:hAnsi="Verdana"/>
          <w:sz w:val="20"/>
          <w:szCs w:val="20"/>
        </w:rPr>
      </w:pP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Let's say another user runs the below query in a transaction. The query completes and updates the records, but it is not yet committed to the database so the records are locked.</w:t>
      </w:r>
    </w:p>
    <w:p w:rsidR="00811CEF" w:rsidRPr="00811CEF" w:rsidRDefault="00811CEF" w:rsidP="00811CE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CEF">
        <w:rPr>
          <w:rFonts w:ascii="Courier New" w:eastAsia="Times New Roman" w:hAnsi="Courier New" w:cs="Courier New"/>
          <w:sz w:val="20"/>
          <w:szCs w:val="20"/>
        </w:rPr>
        <w:t>-- run in query window 1</w:t>
      </w:r>
    </w:p>
    <w:p w:rsidR="00811CEF" w:rsidRPr="00811CEF" w:rsidRDefault="00811CEF" w:rsidP="00811CE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CEF">
        <w:rPr>
          <w:rFonts w:ascii="Courier New" w:eastAsia="Times New Roman" w:hAnsi="Courier New" w:cs="Courier New"/>
          <w:sz w:val="20"/>
          <w:szCs w:val="20"/>
        </w:rPr>
        <w:t>BEGIN TRAN</w:t>
      </w:r>
    </w:p>
    <w:p w:rsidR="00811CEF" w:rsidRPr="00811CEF" w:rsidRDefault="00811CEF" w:rsidP="00811CE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CEF">
        <w:rPr>
          <w:rFonts w:ascii="Courier New" w:eastAsia="Times New Roman" w:hAnsi="Courier New" w:cs="Courier New"/>
          <w:sz w:val="20"/>
          <w:szCs w:val="20"/>
        </w:rPr>
        <w:t>UPDATE Person.Contact SET Suffix = 'B' WHERE ContactID &lt; 20</w:t>
      </w:r>
    </w:p>
    <w:p w:rsidR="00811CEF" w:rsidRPr="00811CEF" w:rsidRDefault="00811CEF" w:rsidP="00811CE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1CEF">
        <w:rPr>
          <w:rFonts w:ascii="Courier New" w:eastAsia="Times New Roman" w:hAnsi="Courier New" w:cs="Courier New"/>
          <w:sz w:val="20"/>
          <w:szCs w:val="20"/>
        </w:rPr>
        <w:t>-- ROLLBACK or COMMIT</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If I run the same query from above again you will notice that it never completes, because the UPDATE has not yet been committed. </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run in query window 2</w:t>
      </w:r>
      <w:r w:rsidRPr="00811CEF">
        <w:rPr>
          <w:rFonts w:ascii="Courier New" w:eastAsia="Times New Roman" w:hAnsi="Courier New" w:cs="Courier New"/>
          <w:sz w:val="18"/>
          <w:szCs w:val="18"/>
        </w:rPr>
        <w:br/>
        <w:t xml:space="preserve">SELECT * FROM Person.Contact WHERE ContactID &lt; 20 </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lastRenderedPageBreak/>
        <w:t xml:space="preserve">If I run </w:t>
      </w:r>
      <w:r w:rsidRPr="00811CEF">
        <w:rPr>
          <w:rFonts w:ascii="Verdana" w:eastAsia="Times New Roman" w:hAnsi="Verdana"/>
          <w:b/>
          <w:bCs/>
          <w:sz w:val="20"/>
          <w:szCs w:val="20"/>
        </w:rPr>
        <w:t xml:space="preserve">sp_who2 </w:t>
      </w:r>
      <w:r w:rsidRPr="00811CEF">
        <w:rPr>
          <w:rFonts w:ascii="Verdana" w:eastAsia="Times New Roman" w:hAnsi="Verdana"/>
          <w:sz w:val="20"/>
          <w:szCs w:val="20"/>
        </w:rPr>
        <w:t>I can see that the SELECT statement is being blocked. I will need to either cancel this query or COMMIT or ROLLBACK the query in window one for this to complete. For this example I am going to cancel the SELECT query.</w:t>
      </w:r>
    </w:p>
    <w:p w:rsidR="00811CEF" w:rsidRPr="00811CEF" w:rsidRDefault="00DD7029"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noProof/>
          <w:sz w:val="20"/>
          <w:szCs w:val="20"/>
        </w:rPr>
        <w:drawing>
          <wp:inline distT="0" distB="0" distL="0" distR="0">
            <wp:extent cx="4152265" cy="569595"/>
            <wp:effectExtent l="0" t="0" r="0" b="0"/>
            <wp:docPr id="2" name="Picture 5" descr="commit or rollback que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ommit or rollback query"/>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265" cy="569595"/>
                    </a:xfrm>
                    <a:prstGeom prst="rect">
                      <a:avLst/>
                    </a:prstGeom>
                    <a:noFill/>
                    <a:ln>
                      <a:noFill/>
                    </a:ln>
                  </pic:spPr>
                </pic:pic>
              </a:graphicData>
            </a:graphic>
          </wp:inline>
        </w:drawing>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To get around the locked records, I can use the NOLOCK hint as shown below and the query will complete even though the query in window 1 is still running and has not been committed or rolled back.</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run in query window 2</w:t>
      </w:r>
      <w:r w:rsidRPr="00811CEF">
        <w:rPr>
          <w:rFonts w:ascii="Courier New" w:eastAsia="Times New Roman" w:hAnsi="Courier New" w:cs="Courier New"/>
          <w:sz w:val="18"/>
          <w:szCs w:val="18"/>
        </w:rPr>
        <w:br/>
        <w:t xml:space="preserve">SELECT * FROM Person.Contact WITH (NOLOCK) WHERE ContactID &lt; 20 </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If you notice below the Suffix column now has "B" for all records. This is because the UPDATE in window 1 updated these records. Even though that transaction has not been committed, since we are using the NOLOCK hint SQL Server ignores the locks and returns the data. If the UPDATE is rolled back the data will revert back to what it looked like before, so this is considered a Dirty Read because this data may or may not exist depending on the final outcome in query window 1.</w:t>
      </w:r>
    </w:p>
    <w:p w:rsidR="00811CEF" w:rsidRPr="00811CEF" w:rsidRDefault="00DD7029"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noProof/>
          <w:sz w:val="20"/>
          <w:szCs w:val="20"/>
        </w:rPr>
        <w:drawing>
          <wp:inline distT="0" distB="0" distL="0" distR="0">
            <wp:extent cx="5815965" cy="3072765"/>
            <wp:effectExtent l="0" t="0" r="0" b="0"/>
            <wp:docPr id="3" name="Picture 4" descr="using the nolock hint sql server ignores the lock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using the nolock hint sql server ignores the locks "/>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65" cy="3072765"/>
                    </a:xfrm>
                    <a:prstGeom prst="rect">
                      <a:avLst/>
                    </a:prstGeom>
                    <a:noFill/>
                    <a:ln>
                      <a:noFill/>
                    </a:ln>
                  </pic:spPr>
                </pic:pic>
              </a:graphicData>
            </a:graphic>
          </wp:inline>
        </w:drawing>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If I rollback the UPDATE using the </w:t>
      </w:r>
      <w:r w:rsidRPr="00811CEF">
        <w:rPr>
          <w:rFonts w:ascii="Verdana" w:eastAsia="Times New Roman" w:hAnsi="Verdana"/>
          <w:b/>
          <w:bCs/>
          <w:sz w:val="20"/>
          <w:szCs w:val="20"/>
        </w:rPr>
        <w:t>ROLLBACK</w:t>
      </w:r>
      <w:r w:rsidRPr="00811CEF">
        <w:rPr>
          <w:rFonts w:ascii="Verdana" w:eastAsia="Times New Roman" w:hAnsi="Verdana"/>
          <w:sz w:val="20"/>
          <w:szCs w:val="20"/>
        </w:rPr>
        <w:t xml:space="preserve"> command and rerun the SELECT query we can see the Suffix is back to what it looked like before.</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run in query window 1</w:t>
      </w:r>
      <w:r w:rsidRPr="00811CEF">
        <w:rPr>
          <w:rFonts w:ascii="Courier New" w:eastAsia="Times New Roman" w:hAnsi="Courier New" w:cs="Courier New"/>
          <w:sz w:val="18"/>
          <w:szCs w:val="18"/>
        </w:rPr>
        <w:br/>
        <w:t>ROLLBACK</w:t>
      </w:r>
    </w:p>
    <w:p w:rsidR="00811CEF" w:rsidRPr="00811CEF" w:rsidRDefault="00811CEF" w:rsidP="00811CEF">
      <w:pPr>
        <w:shd w:val="clear" w:color="auto" w:fill="FFFFFF"/>
        <w:spacing w:after="0" w:line="240" w:lineRule="auto"/>
        <w:rPr>
          <w:rFonts w:ascii="Verdana" w:eastAsia="Times New Roman" w:hAnsi="Verdana"/>
          <w:sz w:val="20"/>
          <w:szCs w:val="20"/>
        </w:rPr>
      </w:pP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run in query window 2</w:t>
      </w:r>
      <w:r w:rsidRPr="00811CEF">
        <w:rPr>
          <w:rFonts w:ascii="Courier New" w:eastAsia="Times New Roman" w:hAnsi="Courier New" w:cs="Courier New"/>
          <w:sz w:val="18"/>
          <w:szCs w:val="18"/>
        </w:rPr>
        <w:br/>
        <w:t xml:space="preserve">SELECT * FROM Person.Contact WITH (NOLOCK) WHERE ContactID &lt; 20 </w:t>
      </w:r>
      <w:r w:rsidRPr="00811CEF">
        <w:rPr>
          <w:rFonts w:ascii="Courier New" w:eastAsia="Times New Roman" w:hAnsi="Courier New" w:cs="Courier New"/>
          <w:sz w:val="18"/>
          <w:szCs w:val="18"/>
        </w:rPr>
        <w:br/>
      </w:r>
      <w:r w:rsidRPr="00811CEF">
        <w:rPr>
          <w:rFonts w:ascii="Courier New" w:eastAsia="Times New Roman" w:hAnsi="Courier New" w:cs="Courier New"/>
          <w:sz w:val="18"/>
          <w:szCs w:val="18"/>
        </w:rPr>
        <w:lastRenderedPageBreak/>
        <w:t>-- or</w:t>
      </w:r>
      <w:r w:rsidRPr="00811CEF">
        <w:rPr>
          <w:rFonts w:ascii="Courier New" w:eastAsia="Times New Roman" w:hAnsi="Courier New" w:cs="Courier New"/>
          <w:sz w:val="18"/>
          <w:szCs w:val="18"/>
        </w:rPr>
        <w:br/>
        <w:t xml:space="preserve">SELECT * FROM Person.Contact WHERE ContactID &lt; 20 </w:t>
      </w:r>
    </w:p>
    <w:p w:rsidR="00811CEF" w:rsidRPr="00811CEF" w:rsidRDefault="00DD7029"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noProof/>
          <w:sz w:val="20"/>
          <w:szCs w:val="20"/>
        </w:rPr>
        <w:drawing>
          <wp:inline distT="0" distB="0" distL="0" distR="0">
            <wp:extent cx="5913755" cy="3088005"/>
            <wp:effectExtent l="0" t="0" r="0" b="0"/>
            <wp:docPr id="4" name="Picture 3" descr="using the rollback comma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sing the rollback comman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755" cy="3088005"/>
                    </a:xfrm>
                    <a:prstGeom prst="rect">
                      <a:avLst/>
                    </a:prstGeom>
                    <a:noFill/>
                    <a:ln>
                      <a:noFill/>
                    </a:ln>
                  </pic:spPr>
                </pic:pic>
              </a:graphicData>
            </a:graphic>
          </wp:inline>
        </w:drawing>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So the issue with using the NOLOCK hint is that there is the possibility of reading data that has been changed, but not yet committed to the database. If you are running reports and do not care if the data might be off then this is not an issue, but if you are creating transactions where the data needs to be in a consistent state you can see how the NOLOCK hint could return false data.</w:t>
      </w:r>
    </w:p>
    <w:p w:rsidR="00811CEF" w:rsidRPr="00811CEF" w:rsidRDefault="00DD3371" w:rsidP="00811CEF">
      <w:pPr>
        <w:shd w:val="clear" w:color="auto" w:fill="FFFFFF"/>
        <w:spacing w:after="0" w:line="240" w:lineRule="auto"/>
        <w:rPr>
          <w:rFonts w:ascii="Verdana" w:eastAsia="Times New Roman" w:hAnsi="Verdana"/>
          <w:sz w:val="20"/>
          <w:szCs w:val="20"/>
        </w:rPr>
      </w:pPr>
      <w:r>
        <w:rPr>
          <w:rFonts w:ascii="Verdana" w:eastAsia="Times New Roman" w:hAnsi="Verdana"/>
          <w:noProof/>
          <w:sz w:val="20"/>
          <w:szCs w:val="20"/>
        </w:rPr>
        <w:pict>
          <v:rect id="_x0000_i1030" alt="" style="width:468pt;height:.05pt;mso-width-percent:0;mso-height-percent:0;mso-width-percent:0;mso-height-percent:0" o:hralign="center" o:hrstd="t" o:hr="t" fillcolor="#a0a0a0" stroked="f"/>
        </w:pict>
      </w:r>
    </w:p>
    <w:p w:rsidR="00811CEF" w:rsidRPr="00811CEF" w:rsidRDefault="00811CEF"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r w:rsidRPr="00811CEF">
        <w:rPr>
          <w:rFonts w:ascii="Verdana" w:eastAsia="Times New Roman" w:hAnsi="Verdana"/>
          <w:b/>
          <w:bCs/>
          <w:color w:val="000000"/>
          <w:sz w:val="24"/>
          <w:szCs w:val="24"/>
        </w:rPr>
        <w:t>Locks</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So what kind of locking is used when the NOLOCK hint is used. </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If we run our SELECT without NOLOCK we can see the locks that are taken if we use </w:t>
      </w:r>
      <w:r w:rsidRPr="00811CEF">
        <w:rPr>
          <w:rFonts w:ascii="Verdana" w:eastAsia="Times New Roman" w:hAnsi="Verdana"/>
          <w:b/>
          <w:bCs/>
          <w:sz w:val="20"/>
          <w:szCs w:val="20"/>
        </w:rPr>
        <w:t>sp_lock</w:t>
      </w:r>
      <w:r w:rsidRPr="00811CEF">
        <w:rPr>
          <w:rFonts w:ascii="Verdana" w:eastAsia="Times New Roman" w:hAnsi="Verdana"/>
          <w:sz w:val="20"/>
          <w:szCs w:val="20"/>
        </w:rPr>
        <w:t>. (To get the lock information I ran sp_lock in another query window while this was running.)</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xml:space="preserve">SELECT * FROM Person.Contact WHERE ContactID &lt; 20 </w:t>
      </w:r>
    </w:p>
    <w:p w:rsidR="00811CEF" w:rsidRPr="00811CEF" w:rsidRDefault="00DD7029"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noProof/>
          <w:sz w:val="20"/>
          <w:szCs w:val="20"/>
        </w:rPr>
        <w:drawing>
          <wp:inline distT="0" distB="0" distL="0" distR="0">
            <wp:extent cx="5374005" cy="929640"/>
            <wp:effectExtent l="0" t="0" r="0" b="0"/>
            <wp:docPr id="6" name="Picture 2" descr="we can see the locks that are taken if we use sp_l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e can see the locks that are taken if we use sp_lock"/>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005" cy="929640"/>
                    </a:xfrm>
                    <a:prstGeom prst="rect">
                      <a:avLst/>
                    </a:prstGeom>
                    <a:noFill/>
                    <a:ln>
                      <a:noFill/>
                    </a:ln>
                  </pic:spPr>
                </pic:pic>
              </a:graphicData>
            </a:graphic>
          </wp:inline>
        </w:drawing>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If we do the same for our SELECT with the NOLOCK we can see these locks.</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lastRenderedPageBreak/>
        <w:t xml:space="preserve">SELECT * FROM Person.Contact WITH (NOLOCK) WHERE ContactID &lt; 20 </w:t>
      </w:r>
    </w:p>
    <w:p w:rsidR="00811CEF" w:rsidRPr="00811CEF" w:rsidRDefault="00DD7029"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noProof/>
          <w:sz w:val="20"/>
          <w:szCs w:val="20"/>
        </w:rPr>
        <w:drawing>
          <wp:inline distT="0" distB="0" distL="0" distR="0">
            <wp:extent cx="5403850" cy="749300"/>
            <wp:effectExtent l="0" t="0" r="0" b="0"/>
            <wp:docPr id="7" name="Picture 1" descr="sql server still creates a lock to make sure the data is consist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ql server still creates a lock to make sure the data is consistent"/>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749300"/>
                    </a:xfrm>
                    <a:prstGeom prst="rect">
                      <a:avLst/>
                    </a:prstGeom>
                    <a:noFill/>
                    <a:ln>
                      <a:noFill/>
                    </a:ln>
                  </pic:spPr>
                </pic:pic>
              </a:graphicData>
            </a:graphic>
          </wp:inline>
        </w:drawing>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The differences are that there is a "S" shared access lock that is put on the page (PAG) that we are reading for the first 19 rows of data in the table when we don't use NOLOCK. Also, we are getting a Sch-S lock versus an IS lock for the table (TAB). </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So another thing to point out is that even when you just SELECT data SQL Server still creates a lock to make sure the data is consistent.</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These are the lock types and the lock modes that are used for the above two queries.</w:t>
      </w:r>
    </w:p>
    <w:p w:rsidR="00811CEF" w:rsidRPr="00811CEF" w:rsidRDefault="00811CEF" w:rsidP="00811CEF">
      <w:pPr>
        <w:shd w:val="clear" w:color="auto" w:fill="FFFFFF"/>
        <w:spacing w:before="100" w:beforeAutospacing="1" w:after="100" w:afterAutospacing="1" w:line="240" w:lineRule="auto"/>
        <w:outlineLvl w:val="3"/>
        <w:rPr>
          <w:rFonts w:ascii="Verdana" w:eastAsia="Times New Roman" w:hAnsi="Verdana"/>
          <w:b/>
          <w:bCs/>
          <w:color w:val="006699"/>
        </w:rPr>
      </w:pPr>
      <w:r w:rsidRPr="00811CEF">
        <w:rPr>
          <w:rFonts w:ascii="Verdana" w:eastAsia="Times New Roman" w:hAnsi="Verdana"/>
          <w:b/>
          <w:bCs/>
          <w:color w:val="006699"/>
        </w:rPr>
        <w:t>Lock Types</w:t>
      </w:r>
    </w:p>
    <w:p w:rsidR="00811CEF" w:rsidRPr="00811CEF" w:rsidRDefault="00811CEF" w:rsidP="00811CEF">
      <w:pPr>
        <w:numPr>
          <w:ilvl w:val="0"/>
          <w:numId w:val="1"/>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MD - metadata lock </w:t>
      </w:r>
    </w:p>
    <w:p w:rsidR="00811CEF" w:rsidRPr="00811CEF" w:rsidRDefault="00811CEF" w:rsidP="00811CEF">
      <w:pPr>
        <w:numPr>
          <w:ilvl w:val="0"/>
          <w:numId w:val="1"/>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DB - database lock </w:t>
      </w:r>
    </w:p>
    <w:p w:rsidR="00811CEF" w:rsidRPr="00811CEF" w:rsidRDefault="00811CEF" w:rsidP="00811CEF">
      <w:pPr>
        <w:numPr>
          <w:ilvl w:val="0"/>
          <w:numId w:val="1"/>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TAB - table lock </w:t>
      </w:r>
    </w:p>
    <w:p w:rsidR="00811CEF" w:rsidRPr="00811CEF" w:rsidRDefault="00811CEF" w:rsidP="00811CEF">
      <w:pPr>
        <w:numPr>
          <w:ilvl w:val="0"/>
          <w:numId w:val="1"/>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PAG - page lock</w:t>
      </w:r>
    </w:p>
    <w:p w:rsidR="00811CEF" w:rsidRPr="00811CEF" w:rsidRDefault="00811CEF" w:rsidP="00811CEF">
      <w:pPr>
        <w:shd w:val="clear" w:color="auto" w:fill="FFFFFF"/>
        <w:spacing w:before="100" w:beforeAutospacing="1" w:after="100" w:afterAutospacing="1" w:line="240" w:lineRule="auto"/>
        <w:outlineLvl w:val="3"/>
        <w:rPr>
          <w:rFonts w:ascii="Verdana" w:eastAsia="Times New Roman" w:hAnsi="Verdana"/>
          <w:b/>
          <w:bCs/>
          <w:color w:val="006699"/>
        </w:rPr>
      </w:pPr>
      <w:r w:rsidRPr="00811CEF">
        <w:rPr>
          <w:rFonts w:ascii="Verdana" w:eastAsia="Times New Roman" w:hAnsi="Verdana"/>
          <w:b/>
          <w:bCs/>
          <w:color w:val="006699"/>
        </w:rPr>
        <w:t>Mode</w:t>
      </w:r>
    </w:p>
    <w:p w:rsidR="00811CEF" w:rsidRPr="00811CEF" w:rsidRDefault="00811CEF" w:rsidP="00811CEF">
      <w:pPr>
        <w:numPr>
          <w:ilvl w:val="0"/>
          <w:numId w:val="2"/>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S - Shared access </w:t>
      </w:r>
    </w:p>
    <w:p w:rsidR="00811CEF" w:rsidRPr="00811CEF" w:rsidRDefault="00811CEF" w:rsidP="00811CEF">
      <w:pPr>
        <w:numPr>
          <w:ilvl w:val="0"/>
          <w:numId w:val="2"/>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Sch-S - Schema stability makes sure the schema is not changed while object is in use </w:t>
      </w:r>
    </w:p>
    <w:p w:rsidR="00811CEF" w:rsidRPr="00811CEF" w:rsidRDefault="00811CEF" w:rsidP="00811CEF">
      <w:pPr>
        <w:numPr>
          <w:ilvl w:val="0"/>
          <w:numId w:val="2"/>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IS - Intent shared indicates intention to use S locks</w:t>
      </w:r>
    </w:p>
    <w:p w:rsidR="00811CEF" w:rsidRPr="00811CEF" w:rsidRDefault="00DD3371" w:rsidP="00811CEF">
      <w:pPr>
        <w:shd w:val="clear" w:color="auto" w:fill="FFFFFF"/>
        <w:spacing w:after="0" w:line="240" w:lineRule="auto"/>
        <w:rPr>
          <w:rFonts w:ascii="Verdana" w:eastAsia="Times New Roman" w:hAnsi="Verdana"/>
          <w:sz w:val="20"/>
          <w:szCs w:val="20"/>
        </w:rPr>
      </w:pPr>
      <w:r>
        <w:rPr>
          <w:rFonts w:ascii="Verdana" w:eastAsia="Times New Roman" w:hAnsi="Verdana"/>
          <w:noProof/>
          <w:sz w:val="20"/>
          <w:szCs w:val="20"/>
        </w:rPr>
        <w:pict>
          <v:rect id="_x0000_i1029" alt="" style="width:468pt;height:.05pt;mso-width-percent:0;mso-height-percent:0;mso-width-percent:0;mso-height-percent:0" o:hralign="center" o:hrstd="t" o:hr="t" fillcolor="#a0a0a0" stroked="f"/>
        </w:pict>
      </w:r>
    </w:p>
    <w:p w:rsidR="00811CEF" w:rsidRPr="00811CEF" w:rsidRDefault="00811CEF"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r w:rsidRPr="00811CEF">
        <w:rPr>
          <w:rFonts w:ascii="Verdana" w:eastAsia="Times New Roman" w:hAnsi="Verdana"/>
          <w:b/>
          <w:bCs/>
          <w:color w:val="000000"/>
          <w:sz w:val="24"/>
          <w:szCs w:val="24"/>
        </w:rPr>
        <w:t xml:space="preserve">READUNCOMMITED </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The NOLOCK hint is the same as the READUNCOMMITED hint and can be used as follows with the same results.</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xml:space="preserve">SELECT * FROM Person.Contact WITH (READUNCOMMITTED) </w:t>
      </w:r>
    </w:p>
    <w:p w:rsidR="00811CEF" w:rsidRPr="00811CEF" w:rsidRDefault="00DD3371" w:rsidP="00811CEF">
      <w:pPr>
        <w:shd w:val="clear" w:color="auto" w:fill="FFFFFF"/>
        <w:spacing w:after="0" w:line="240" w:lineRule="auto"/>
        <w:rPr>
          <w:rFonts w:ascii="Verdana" w:eastAsia="Times New Roman" w:hAnsi="Verdana"/>
          <w:sz w:val="20"/>
          <w:szCs w:val="20"/>
        </w:rPr>
      </w:pPr>
      <w:r>
        <w:rPr>
          <w:rFonts w:ascii="Verdana" w:eastAsia="Times New Roman" w:hAnsi="Verdana"/>
          <w:noProof/>
          <w:sz w:val="20"/>
          <w:szCs w:val="20"/>
        </w:rPr>
        <w:pict>
          <v:rect id="_x0000_i1028" alt="" style="width:468pt;height:.05pt;mso-width-percent:0;mso-height-percent:0;mso-width-percent:0;mso-height-percent:0" o:hralign="center" o:hrstd="t" o:hr="t" fillcolor="#a0a0a0" stroked="f"/>
        </w:pict>
      </w:r>
    </w:p>
    <w:p w:rsidR="00811CEF" w:rsidRPr="00811CEF" w:rsidRDefault="00811CEF"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r w:rsidRPr="00811CEF">
        <w:rPr>
          <w:rFonts w:ascii="Verdana" w:eastAsia="Times New Roman" w:hAnsi="Verdana"/>
          <w:b/>
          <w:bCs/>
          <w:color w:val="000000"/>
          <w:sz w:val="24"/>
          <w:szCs w:val="24"/>
        </w:rPr>
        <w:t>SELECT statements only</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The NOLOCK and READUNCOMMITED hints are only allowed with SELECT statements. If we try to use this for an UPDATE, DELETE or INSERT we will get an error.</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xml:space="preserve">UPDATE Person.Contact with (NOLOCK) SET Suffix = 'B' WHERE ContactID &lt; 20 </w:t>
      </w:r>
    </w:p>
    <w:p w:rsidR="00811CEF" w:rsidRPr="00811CEF" w:rsidRDefault="00811CEF" w:rsidP="00811CEF">
      <w:pPr>
        <w:shd w:val="clear" w:color="auto" w:fill="FFFFFF"/>
        <w:spacing w:after="0" w:line="240" w:lineRule="auto"/>
        <w:rPr>
          <w:rFonts w:ascii="Verdana" w:eastAsia="Times New Roman" w:hAnsi="Verdana"/>
          <w:sz w:val="20"/>
          <w:szCs w:val="20"/>
        </w:rPr>
      </w:pP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lastRenderedPageBreak/>
        <w:t xml:space="preserve">Msg 1065, Level 15, State 1, Line 15 </w:t>
      </w:r>
      <w:r w:rsidRPr="00811CEF">
        <w:rPr>
          <w:rFonts w:ascii="Courier New" w:eastAsia="Times New Roman" w:hAnsi="Courier New" w:cs="Courier New"/>
          <w:sz w:val="18"/>
          <w:szCs w:val="18"/>
        </w:rPr>
        <w:br/>
        <w:t xml:space="preserve">The NOLOCK and READUNCOMMITTED lock hints are not allowed for target tables of INSERT, UPDATE, DELETE or MERGE statements. </w:t>
      </w:r>
    </w:p>
    <w:p w:rsidR="00811CEF" w:rsidRPr="00811CEF" w:rsidRDefault="00DD3371" w:rsidP="00811CEF">
      <w:pPr>
        <w:shd w:val="clear" w:color="auto" w:fill="FFFFFF"/>
        <w:spacing w:after="0" w:line="240" w:lineRule="auto"/>
        <w:rPr>
          <w:rFonts w:ascii="Verdana" w:eastAsia="Times New Roman" w:hAnsi="Verdana"/>
          <w:sz w:val="20"/>
          <w:szCs w:val="20"/>
        </w:rPr>
      </w:pPr>
      <w:r>
        <w:rPr>
          <w:rFonts w:ascii="Verdana" w:eastAsia="Times New Roman" w:hAnsi="Verdana"/>
          <w:noProof/>
          <w:sz w:val="20"/>
          <w:szCs w:val="20"/>
        </w:rPr>
        <w:pict>
          <v:rect id="_x0000_i1027" alt="" style="width:468pt;height:.05pt;mso-width-percent:0;mso-height-percent:0;mso-width-percent:0;mso-height-percent:0" o:hralign="center" o:hrstd="t" o:hr="t" fillcolor="#a0a0a0" stroked="f"/>
        </w:pict>
      </w:r>
    </w:p>
    <w:p w:rsidR="00811CEF" w:rsidRPr="00811CEF" w:rsidRDefault="00811CEF"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r w:rsidRPr="00811CEF">
        <w:rPr>
          <w:rFonts w:ascii="Verdana" w:eastAsia="Times New Roman" w:hAnsi="Verdana"/>
          <w:b/>
          <w:bCs/>
          <w:color w:val="000000"/>
          <w:sz w:val="24"/>
          <w:szCs w:val="24"/>
        </w:rPr>
        <w:t>Schema Change Blocking</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Since a NOLOCK hint needs to get a Sch-S (schema stability) lock, a SELECT using NOLOCK could still be blocked if a table is being altered and not committed. Here is an example.</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run in query window 1</w:t>
      </w:r>
      <w:r w:rsidRPr="00811CEF">
        <w:rPr>
          <w:rFonts w:ascii="Courier New" w:eastAsia="Times New Roman" w:hAnsi="Courier New" w:cs="Courier New"/>
          <w:sz w:val="18"/>
          <w:szCs w:val="18"/>
        </w:rPr>
        <w:br/>
        <w:t>BEGIN TRAN</w:t>
      </w:r>
      <w:r w:rsidRPr="00811CEF">
        <w:rPr>
          <w:rFonts w:ascii="Courier New" w:eastAsia="Times New Roman" w:hAnsi="Courier New" w:cs="Courier New"/>
          <w:sz w:val="18"/>
          <w:szCs w:val="18"/>
        </w:rPr>
        <w:br/>
        <w:t xml:space="preserve">ALTER TABLE Person.Contact ADD column_b VARCHAR(20) NULL ; </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If we try to run our SELECT statement it will be blocked until the above is committed or rolled back.</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 run in query window 2</w:t>
      </w:r>
      <w:r w:rsidRPr="00811CEF">
        <w:rPr>
          <w:rFonts w:ascii="Courier New" w:eastAsia="Times New Roman" w:hAnsi="Courier New" w:cs="Courier New"/>
          <w:sz w:val="18"/>
          <w:szCs w:val="18"/>
        </w:rPr>
        <w:br/>
        <w:t xml:space="preserve">SELECT * FROM Person.Contact WITH (NOLOCK) WHERE ContactID &lt; 20 </w:t>
      </w:r>
    </w:p>
    <w:p w:rsidR="00811CEF" w:rsidRPr="00811CEF" w:rsidRDefault="00DD3371" w:rsidP="00811CEF">
      <w:pPr>
        <w:shd w:val="clear" w:color="auto" w:fill="FFFFFF"/>
        <w:spacing w:after="0" w:line="240" w:lineRule="auto"/>
        <w:rPr>
          <w:rFonts w:ascii="Verdana" w:eastAsia="Times New Roman" w:hAnsi="Verdana"/>
          <w:sz w:val="20"/>
          <w:szCs w:val="20"/>
        </w:rPr>
      </w:pPr>
      <w:r>
        <w:rPr>
          <w:rFonts w:ascii="Verdana" w:eastAsia="Times New Roman" w:hAnsi="Verdana"/>
          <w:noProof/>
          <w:sz w:val="20"/>
          <w:szCs w:val="20"/>
        </w:rPr>
        <w:pict>
          <v:rect id="_x0000_i1026" alt="" style="width:468pt;height:.05pt;mso-width-percent:0;mso-height-percent:0;mso-width-percent:0;mso-height-percent:0" o:hralign="center" o:hrstd="t" o:hr="t" fillcolor="#a0a0a0" stroked="f"/>
        </w:pict>
      </w:r>
    </w:p>
    <w:p w:rsidR="007C6A79" w:rsidRDefault="007C6A79"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p>
    <w:p w:rsidR="007C6A79" w:rsidRDefault="007C6A79"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p>
    <w:p w:rsidR="00811CEF" w:rsidRPr="00811CEF" w:rsidRDefault="00811CEF"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r w:rsidRPr="00811CEF">
        <w:rPr>
          <w:rFonts w:ascii="Verdana" w:eastAsia="Times New Roman" w:hAnsi="Verdana"/>
          <w:b/>
          <w:bCs/>
          <w:color w:val="000000"/>
          <w:sz w:val="24"/>
          <w:szCs w:val="24"/>
        </w:rPr>
        <w:t>Issues</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We mentioned above how you can get dirty reads using the NOLOCK hint. These are also other terms you may encounter for this hint.</w:t>
      </w:r>
    </w:p>
    <w:p w:rsidR="00811CEF" w:rsidRPr="00811CEF" w:rsidRDefault="00811CEF" w:rsidP="00811CEF">
      <w:pPr>
        <w:numPr>
          <w:ilvl w:val="0"/>
          <w:numId w:val="3"/>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Dirty Reads - this occurs when updates are done, so the data you select could be different. </w:t>
      </w:r>
    </w:p>
    <w:p w:rsidR="00811CEF" w:rsidRPr="00811CEF" w:rsidRDefault="00811CEF" w:rsidP="00811CEF">
      <w:pPr>
        <w:numPr>
          <w:ilvl w:val="0"/>
          <w:numId w:val="3"/>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Nonrepeatable Reads - this occurs when you need to read the data more than once and the data changes during that process </w:t>
      </w:r>
    </w:p>
    <w:p w:rsidR="00811CEF" w:rsidRPr="00811CEF" w:rsidRDefault="00811CEF" w:rsidP="00811CEF">
      <w:pPr>
        <w:numPr>
          <w:ilvl w:val="0"/>
          <w:numId w:val="3"/>
        </w:num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Phantom Reads - occurs where data is inserted or deleted and the transaction is rolled back. So for the insert you will get more records and for the delete you will get less records.</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 xml:space="preserve">To learn more about these issues read this article: </w:t>
      </w:r>
      <w:hyperlink r:id="rId13" w:history="1">
        <w:r w:rsidRPr="00811CEF">
          <w:rPr>
            <w:rFonts w:ascii="Verdana" w:eastAsia="Times New Roman" w:hAnsi="Verdana"/>
            <w:color w:val="0000FF"/>
            <w:sz w:val="20"/>
            <w:szCs w:val="20"/>
            <w:u w:val="single"/>
          </w:rPr>
          <w:t>http://msdn.microsoft.com/en-us/library/ms190805.aspx</w:t>
        </w:r>
      </w:hyperlink>
    </w:p>
    <w:p w:rsidR="00811CEF" w:rsidRPr="00811CEF" w:rsidRDefault="00DD3371" w:rsidP="00811CEF">
      <w:pPr>
        <w:shd w:val="clear" w:color="auto" w:fill="FFFFFF"/>
        <w:spacing w:after="0" w:line="240" w:lineRule="auto"/>
        <w:rPr>
          <w:rFonts w:ascii="Verdana" w:eastAsia="Times New Roman" w:hAnsi="Verdana"/>
          <w:sz w:val="20"/>
          <w:szCs w:val="20"/>
        </w:rPr>
      </w:pPr>
      <w:r>
        <w:rPr>
          <w:rFonts w:ascii="Verdana" w:eastAsia="Times New Roman" w:hAnsi="Verdana"/>
          <w:noProof/>
          <w:sz w:val="20"/>
          <w:szCs w:val="20"/>
        </w:rPr>
        <w:pict>
          <v:rect id="_x0000_i1025" alt="" style="width:468pt;height:.05pt;mso-width-percent:0;mso-height-percent:0;mso-width-percent:0;mso-height-percent:0" o:hralign="center" o:hrstd="t" o:hr="t" fillcolor="#a0a0a0" stroked="f"/>
        </w:pict>
      </w:r>
    </w:p>
    <w:p w:rsidR="00811CEF" w:rsidRPr="00811CEF" w:rsidRDefault="00811CEF" w:rsidP="00811CEF">
      <w:pPr>
        <w:shd w:val="clear" w:color="auto" w:fill="FFFFFF"/>
        <w:spacing w:before="100" w:beforeAutospacing="1" w:after="100" w:afterAutospacing="1" w:line="240" w:lineRule="auto"/>
        <w:outlineLvl w:val="2"/>
        <w:rPr>
          <w:rFonts w:ascii="Verdana" w:eastAsia="Times New Roman" w:hAnsi="Verdana"/>
          <w:b/>
          <w:bCs/>
          <w:color w:val="000000"/>
          <w:sz w:val="24"/>
          <w:szCs w:val="24"/>
        </w:rPr>
      </w:pPr>
      <w:r w:rsidRPr="00811CEF">
        <w:rPr>
          <w:rFonts w:ascii="Verdana" w:eastAsia="Times New Roman" w:hAnsi="Verdana"/>
          <w:b/>
          <w:bCs/>
          <w:color w:val="000000"/>
          <w:sz w:val="24"/>
          <w:szCs w:val="24"/>
        </w:rPr>
        <w:t>Isolation Level</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t>You can also set the Isolation Level for all queries instead of using the NOLOCK or READUNCOMMITTED hint. The isolation level will apply the READUNCOMMITTED to all SELECT statements that are performed from when this is turned on until it is turned off.</w:t>
      </w:r>
    </w:p>
    <w:p w:rsidR="00811CEF" w:rsidRPr="00811CEF" w:rsidRDefault="00811CEF" w:rsidP="00811CEF">
      <w:pPr>
        <w:shd w:val="clear" w:color="auto" w:fill="FFFFFF"/>
        <w:spacing w:before="100" w:beforeAutospacing="1" w:after="100" w:afterAutospacing="1" w:line="240" w:lineRule="auto"/>
        <w:rPr>
          <w:rFonts w:ascii="Verdana" w:eastAsia="Times New Roman" w:hAnsi="Verdana"/>
          <w:sz w:val="20"/>
          <w:szCs w:val="20"/>
        </w:rPr>
      </w:pPr>
      <w:r w:rsidRPr="00811CEF">
        <w:rPr>
          <w:rFonts w:ascii="Verdana" w:eastAsia="Times New Roman" w:hAnsi="Verdana"/>
          <w:sz w:val="20"/>
          <w:szCs w:val="20"/>
        </w:rPr>
        <w:lastRenderedPageBreak/>
        <w:t>In the example below, the two SELECT statements will use the READUNCOMMITED or NOLOCK hint and the UPDATE will still function as normal. This way you can set a whole batch of statements instead of modifying each query.</w:t>
      </w:r>
    </w:p>
    <w:p w:rsidR="00811CEF" w:rsidRPr="00811CEF" w:rsidRDefault="00811CEF" w:rsidP="00811CEF">
      <w:pPr>
        <w:shd w:val="clear" w:color="auto" w:fill="FFFFE1"/>
        <w:spacing w:after="0" w:line="240" w:lineRule="auto"/>
        <w:rPr>
          <w:rFonts w:ascii="Courier New" w:eastAsia="Times New Roman" w:hAnsi="Courier New" w:cs="Courier New"/>
          <w:sz w:val="18"/>
          <w:szCs w:val="18"/>
        </w:rPr>
      </w:pPr>
      <w:r w:rsidRPr="00811CEF">
        <w:rPr>
          <w:rFonts w:ascii="Courier New" w:eastAsia="Times New Roman" w:hAnsi="Courier New" w:cs="Courier New"/>
          <w:sz w:val="18"/>
          <w:szCs w:val="18"/>
        </w:rPr>
        <w:t>SET TRANSACTION ISOLATION LEVEL READ UNCOMMITTED; -- turn it on</w:t>
      </w:r>
      <w:r w:rsidRPr="00811CEF">
        <w:rPr>
          <w:rFonts w:ascii="Courier New" w:eastAsia="Times New Roman" w:hAnsi="Courier New" w:cs="Courier New"/>
          <w:sz w:val="18"/>
          <w:szCs w:val="18"/>
        </w:rPr>
        <w:br/>
      </w:r>
      <w:r w:rsidRPr="00811CEF">
        <w:rPr>
          <w:rFonts w:ascii="Courier New" w:eastAsia="Times New Roman" w:hAnsi="Courier New" w:cs="Courier New"/>
          <w:sz w:val="18"/>
          <w:szCs w:val="18"/>
        </w:rPr>
        <w:br/>
        <w:t xml:space="preserve">SELECT * FROM Person.Contact WHERE ContactID &lt; 20 </w:t>
      </w:r>
      <w:r w:rsidRPr="00811CEF">
        <w:rPr>
          <w:rFonts w:ascii="Courier New" w:eastAsia="Times New Roman" w:hAnsi="Courier New" w:cs="Courier New"/>
          <w:sz w:val="18"/>
          <w:szCs w:val="18"/>
        </w:rPr>
        <w:br/>
      </w:r>
      <w:r w:rsidRPr="00811CEF">
        <w:rPr>
          <w:rFonts w:ascii="Courier New" w:eastAsia="Times New Roman" w:hAnsi="Courier New" w:cs="Courier New"/>
          <w:sz w:val="18"/>
          <w:szCs w:val="18"/>
        </w:rPr>
        <w:br/>
        <w:t xml:space="preserve">UPDATE Person.Contact SET Suffix = 'B' WHERE ContactID = 1 </w:t>
      </w:r>
      <w:r w:rsidRPr="00811CEF">
        <w:rPr>
          <w:rFonts w:ascii="Courier New" w:eastAsia="Times New Roman" w:hAnsi="Courier New" w:cs="Courier New"/>
          <w:sz w:val="18"/>
          <w:szCs w:val="18"/>
        </w:rPr>
        <w:br/>
      </w:r>
      <w:r w:rsidRPr="00811CEF">
        <w:rPr>
          <w:rFonts w:ascii="Courier New" w:eastAsia="Times New Roman" w:hAnsi="Courier New" w:cs="Courier New"/>
          <w:sz w:val="18"/>
          <w:szCs w:val="18"/>
        </w:rPr>
        <w:br/>
        <w:t xml:space="preserve">SELECT * FROM Person.Contact WHERE ContactID &lt; 20 </w:t>
      </w:r>
      <w:r w:rsidRPr="00811CEF">
        <w:rPr>
          <w:rFonts w:ascii="Courier New" w:eastAsia="Times New Roman" w:hAnsi="Courier New" w:cs="Courier New"/>
          <w:sz w:val="18"/>
          <w:szCs w:val="18"/>
        </w:rPr>
        <w:br/>
      </w:r>
      <w:r w:rsidRPr="00811CEF">
        <w:rPr>
          <w:rFonts w:ascii="Courier New" w:eastAsia="Times New Roman" w:hAnsi="Courier New" w:cs="Courier New"/>
          <w:sz w:val="18"/>
          <w:szCs w:val="18"/>
        </w:rPr>
        <w:br/>
        <w:t>SET TRANSACTION ISOLATION LEVEL READ COMMITTED; -- turn it off</w:t>
      </w:r>
    </w:p>
    <w:p w:rsidR="00811CEF" w:rsidRDefault="00811CEF"/>
    <w:sectPr w:rsidR="00811CE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371" w:rsidRDefault="00DD3371" w:rsidP="008F1889">
      <w:pPr>
        <w:spacing w:after="0" w:line="240" w:lineRule="auto"/>
      </w:pPr>
      <w:r>
        <w:separator/>
      </w:r>
    </w:p>
  </w:endnote>
  <w:endnote w:type="continuationSeparator" w:id="0">
    <w:p w:rsidR="00DD3371" w:rsidRDefault="00DD3371" w:rsidP="008F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889" w:rsidRDefault="008F18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555D">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555D">
      <w:rPr>
        <w:b/>
        <w:bCs/>
        <w:noProof/>
      </w:rPr>
      <w:t>6</w:t>
    </w:r>
    <w:r>
      <w:rPr>
        <w:b/>
        <w:bCs/>
        <w:sz w:val="24"/>
        <w:szCs w:val="24"/>
      </w:rPr>
      <w:fldChar w:fldCharType="end"/>
    </w:r>
  </w:p>
  <w:p w:rsidR="008F1889" w:rsidRDefault="008F1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371" w:rsidRDefault="00DD3371" w:rsidP="008F1889">
      <w:pPr>
        <w:spacing w:after="0" w:line="240" w:lineRule="auto"/>
      </w:pPr>
      <w:r>
        <w:separator/>
      </w:r>
    </w:p>
  </w:footnote>
  <w:footnote w:type="continuationSeparator" w:id="0">
    <w:p w:rsidR="00DD3371" w:rsidRDefault="00DD3371" w:rsidP="008F1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212"/>
    <w:multiLevelType w:val="multilevel"/>
    <w:tmpl w:val="46D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C4DA6"/>
    <w:multiLevelType w:val="multilevel"/>
    <w:tmpl w:val="4B2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E6A16"/>
    <w:multiLevelType w:val="multilevel"/>
    <w:tmpl w:val="224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559661">
    <w:abstractNumId w:val="1"/>
  </w:num>
  <w:num w:numId="2" w16cid:durableId="820082334">
    <w:abstractNumId w:val="0"/>
  </w:num>
  <w:num w:numId="3" w16cid:durableId="1600942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EF"/>
    <w:rsid w:val="00136ABD"/>
    <w:rsid w:val="001F7A5B"/>
    <w:rsid w:val="00427E96"/>
    <w:rsid w:val="00561AC4"/>
    <w:rsid w:val="007C6A79"/>
    <w:rsid w:val="00811CEF"/>
    <w:rsid w:val="008F1889"/>
    <w:rsid w:val="00A1555D"/>
    <w:rsid w:val="00DD3371"/>
    <w:rsid w:val="00DD7029"/>
    <w:rsid w:val="00E4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54E9"/>
  <w15:chartTrackingRefBased/>
  <w15:docId w15:val="{8DB806FE-4EDB-A649-AB3D-55D7D30A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811CEF"/>
    <w:pPr>
      <w:spacing w:before="100" w:beforeAutospacing="1" w:after="100" w:afterAutospacing="1" w:line="240" w:lineRule="auto"/>
      <w:outlineLvl w:val="2"/>
    </w:pPr>
    <w:rPr>
      <w:rFonts w:ascii="Verdana" w:eastAsia="Times New Roman" w:hAnsi="Verdana"/>
      <w:b/>
      <w:bCs/>
      <w:color w:val="000000"/>
      <w:sz w:val="24"/>
      <w:szCs w:val="24"/>
    </w:rPr>
  </w:style>
  <w:style w:type="paragraph" w:styleId="Heading4">
    <w:name w:val="heading 4"/>
    <w:basedOn w:val="Normal"/>
    <w:link w:val="Heading4Char"/>
    <w:uiPriority w:val="9"/>
    <w:qFormat/>
    <w:rsid w:val="00811CEF"/>
    <w:pPr>
      <w:spacing w:before="100" w:beforeAutospacing="1" w:after="100" w:afterAutospacing="1" w:line="240" w:lineRule="auto"/>
      <w:outlineLvl w:val="3"/>
    </w:pPr>
    <w:rPr>
      <w:rFonts w:ascii="Verdana" w:eastAsia="Times New Roman" w:hAnsi="Verdana"/>
      <w:b/>
      <w:bCs/>
      <w:color w:val="006699"/>
    </w:rPr>
  </w:style>
  <w:style w:type="paragraph" w:styleId="Heading5">
    <w:name w:val="heading 5"/>
    <w:basedOn w:val="Normal"/>
    <w:link w:val="Heading5Char"/>
    <w:uiPriority w:val="9"/>
    <w:qFormat/>
    <w:rsid w:val="00811CEF"/>
    <w:pPr>
      <w:spacing w:before="120" w:after="120" w:line="240" w:lineRule="auto"/>
      <w:outlineLvl w:val="4"/>
    </w:pPr>
    <w:rPr>
      <w:rFonts w:ascii="Verdana" w:eastAsia="Times New Roman" w:hAnsi="Verdan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811CEF"/>
    <w:rPr>
      <w:rFonts w:ascii="Verdana" w:eastAsia="Times New Roman" w:hAnsi="Verdana" w:cs="Times New Roman"/>
      <w:b/>
      <w:bCs/>
      <w:color w:val="000000"/>
      <w:sz w:val="24"/>
      <w:szCs w:val="24"/>
    </w:rPr>
  </w:style>
  <w:style w:type="character" w:customStyle="1" w:styleId="Heading4Char">
    <w:name w:val="Heading 4 Char"/>
    <w:link w:val="Heading4"/>
    <w:uiPriority w:val="9"/>
    <w:rsid w:val="00811CEF"/>
    <w:rPr>
      <w:rFonts w:ascii="Verdana" w:eastAsia="Times New Roman" w:hAnsi="Verdana" w:cs="Times New Roman"/>
      <w:b/>
      <w:bCs/>
      <w:color w:val="006699"/>
    </w:rPr>
  </w:style>
  <w:style w:type="character" w:customStyle="1" w:styleId="Heading5Char">
    <w:name w:val="Heading 5 Char"/>
    <w:link w:val="Heading5"/>
    <w:uiPriority w:val="9"/>
    <w:rsid w:val="00811CEF"/>
    <w:rPr>
      <w:rFonts w:ascii="Verdana" w:eastAsia="Times New Roman" w:hAnsi="Verdana" w:cs="Times New Roman"/>
      <w:b/>
      <w:bCs/>
      <w:color w:val="000000"/>
      <w:sz w:val="28"/>
      <w:szCs w:val="28"/>
    </w:rPr>
  </w:style>
  <w:style w:type="character" w:styleId="Hyperlink">
    <w:name w:val="Hyperlink"/>
    <w:uiPriority w:val="99"/>
    <w:semiHidden/>
    <w:unhideWhenUsed/>
    <w:rsid w:val="00811CEF"/>
    <w:rPr>
      <w:color w:val="0000FF"/>
      <w:u w:val="single"/>
    </w:rPr>
  </w:style>
  <w:style w:type="paragraph" w:styleId="HTMLPreformatted">
    <w:name w:val="HTML Preformatted"/>
    <w:basedOn w:val="Normal"/>
    <w:link w:val="HTMLPreformattedChar"/>
    <w:uiPriority w:val="99"/>
    <w:semiHidden/>
    <w:unhideWhenUsed/>
    <w:rsid w:val="0081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11CEF"/>
    <w:rPr>
      <w:rFonts w:ascii="Courier New" w:eastAsia="Times New Roman" w:hAnsi="Courier New" w:cs="Courier New"/>
      <w:sz w:val="20"/>
      <w:szCs w:val="20"/>
    </w:rPr>
  </w:style>
  <w:style w:type="paragraph" w:styleId="NormalWeb">
    <w:name w:val="Normal (Web)"/>
    <w:basedOn w:val="Normal"/>
    <w:uiPriority w:val="99"/>
    <w:semiHidden/>
    <w:unhideWhenUsed/>
    <w:rsid w:val="00811CEF"/>
    <w:pPr>
      <w:spacing w:before="100" w:beforeAutospacing="1" w:after="100" w:afterAutospacing="1" w:line="240" w:lineRule="auto"/>
    </w:pPr>
    <w:rPr>
      <w:rFonts w:ascii="Verdana" w:eastAsia="Times New Roman" w:hAnsi="Verdana"/>
      <w:sz w:val="20"/>
      <w:szCs w:val="20"/>
    </w:rPr>
  </w:style>
  <w:style w:type="character" w:styleId="Strong">
    <w:name w:val="Strong"/>
    <w:uiPriority w:val="22"/>
    <w:qFormat/>
    <w:rsid w:val="00811CEF"/>
    <w:rPr>
      <w:b/>
      <w:bCs/>
    </w:rPr>
  </w:style>
  <w:style w:type="paragraph" w:styleId="BalloonText">
    <w:name w:val="Balloon Text"/>
    <w:basedOn w:val="Normal"/>
    <w:link w:val="BalloonTextChar"/>
    <w:uiPriority w:val="99"/>
    <w:semiHidden/>
    <w:unhideWhenUsed/>
    <w:rsid w:val="00811CE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1CEF"/>
    <w:rPr>
      <w:rFonts w:ascii="Tahoma" w:hAnsi="Tahoma" w:cs="Tahoma"/>
      <w:sz w:val="16"/>
      <w:szCs w:val="16"/>
    </w:rPr>
  </w:style>
  <w:style w:type="paragraph" w:styleId="Header">
    <w:name w:val="header"/>
    <w:basedOn w:val="Normal"/>
    <w:link w:val="HeaderChar"/>
    <w:uiPriority w:val="99"/>
    <w:unhideWhenUsed/>
    <w:rsid w:val="008F1889"/>
    <w:pPr>
      <w:tabs>
        <w:tab w:val="center" w:pos="4680"/>
        <w:tab w:val="right" w:pos="9360"/>
      </w:tabs>
    </w:pPr>
  </w:style>
  <w:style w:type="character" w:customStyle="1" w:styleId="HeaderChar">
    <w:name w:val="Header Char"/>
    <w:link w:val="Header"/>
    <w:uiPriority w:val="99"/>
    <w:rsid w:val="008F1889"/>
    <w:rPr>
      <w:sz w:val="22"/>
      <w:szCs w:val="22"/>
    </w:rPr>
  </w:style>
  <w:style w:type="paragraph" w:styleId="Footer">
    <w:name w:val="footer"/>
    <w:basedOn w:val="Normal"/>
    <w:link w:val="FooterChar"/>
    <w:uiPriority w:val="99"/>
    <w:unhideWhenUsed/>
    <w:rsid w:val="008F1889"/>
    <w:pPr>
      <w:tabs>
        <w:tab w:val="center" w:pos="4680"/>
        <w:tab w:val="right" w:pos="9360"/>
      </w:tabs>
    </w:pPr>
  </w:style>
  <w:style w:type="character" w:customStyle="1" w:styleId="FooterChar">
    <w:name w:val="Footer Char"/>
    <w:link w:val="Footer"/>
    <w:uiPriority w:val="99"/>
    <w:rsid w:val="008F188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85236">
      <w:bodyDiv w:val="1"/>
      <w:marLeft w:val="0"/>
      <w:marRight w:val="0"/>
      <w:marTop w:val="0"/>
      <w:marBottom w:val="0"/>
      <w:divBdr>
        <w:top w:val="none" w:sz="0" w:space="0" w:color="auto"/>
        <w:left w:val="none" w:sz="0" w:space="0" w:color="auto"/>
        <w:bottom w:val="none" w:sz="0" w:space="0" w:color="auto"/>
        <w:right w:val="none" w:sz="0" w:space="0" w:color="auto"/>
      </w:divBdr>
      <w:divsChild>
        <w:div w:id="1402361593">
          <w:marLeft w:val="0"/>
          <w:marRight w:val="0"/>
          <w:marTop w:val="150"/>
          <w:marBottom w:val="0"/>
          <w:divBdr>
            <w:top w:val="none" w:sz="0" w:space="0" w:color="auto"/>
            <w:left w:val="none" w:sz="0" w:space="0" w:color="auto"/>
            <w:bottom w:val="none" w:sz="0" w:space="0" w:color="auto"/>
            <w:right w:val="none" w:sz="0" w:space="0" w:color="auto"/>
          </w:divBdr>
          <w:divsChild>
            <w:div w:id="1526560064">
              <w:marLeft w:val="0"/>
              <w:marRight w:val="0"/>
              <w:marTop w:val="0"/>
              <w:marBottom w:val="0"/>
              <w:divBdr>
                <w:top w:val="none" w:sz="0" w:space="0" w:color="auto"/>
                <w:left w:val="none" w:sz="0" w:space="0" w:color="auto"/>
                <w:bottom w:val="none" w:sz="0" w:space="0" w:color="auto"/>
                <w:right w:val="none" w:sz="0" w:space="0" w:color="auto"/>
              </w:divBdr>
              <w:divsChild>
                <w:div w:id="636959277">
                  <w:marLeft w:val="0"/>
                  <w:marRight w:val="0"/>
                  <w:marTop w:val="0"/>
                  <w:marBottom w:val="0"/>
                  <w:divBdr>
                    <w:top w:val="none" w:sz="0" w:space="0" w:color="auto"/>
                    <w:left w:val="none" w:sz="0" w:space="0" w:color="auto"/>
                    <w:bottom w:val="none" w:sz="0" w:space="0" w:color="auto"/>
                    <w:right w:val="none" w:sz="0" w:space="0" w:color="auto"/>
                  </w:divBdr>
                  <w:divsChild>
                    <w:div w:id="100302155">
                      <w:marLeft w:val="0"/>
                      <w:marRight w:val="0"/>
                      <w:marTop w:val="0"/>
                      <w:marBottom w:val="0"/>
                      <w:divBdr>
                        <w:top w:val="single" w:sz="6" w:space="3" w:color="AAAAAA"/>
                        <w:left w:val="single" w:sz="6" w:space="3" w:color="AAAAAA"/>
                        <w:bottom w:val="single" w:sz="6" w:space="3" w:color="AAAAAA"/>
                        <w:right w:val="single" w:sz="6" w:space="3" w:color="AAAAAA"/>
                      </w:divBdr>
                    </w:div>
                    <w:div w:id="124666718">
                      <w:marLeft w:val="0"/>
                      <w:marRight w:val="0"/>
                      <w:marTop w:val="0"/>
                      <w:marBottom w:val="0"/>
                      <w:divBdr>
                        <w:top w:val="single" w:sz="6" w:space="3" w:color="AAAAAA"/>
                        <w:left w:val="single" w:sz="6" w:space="3" w:color="AAAAAA"/>
                        <w:bottom w:val="single" w:sz="6" w:space="3" w:color="AAAAAA"/>
                        <w:right w:val="single" w:sz="6" w:space="3" w:color="AAAAAA"/>
                      </w:divBdr>
                    </w:div>
                    <w:div w:id="546645925">
                      <w:marLeft w:val="0"/>
                      <w:marRight w:val="0"/>
                      <w:marTop w:val="0"/>
                      <w:marBottom w:val="0"/>
                      <w:divBdr>
                        <w:top w:val="single" w:sz="6" w:space="3" w:color="AAAAAA"/>
                        <w:left w:val="single" w:sz="6" w:space="3" w:color="AAAAAA"/>
                        <w:bottom w:val="single" w:sz="6" w:space="3" w:color="AAAAAA"/>
                        <w:right w:val="single" w:sz="6" w:space="3" w:color="AAAAAA"/>
                      </w:divBdr>
                    </w:div>
                    <w:div w:id="1343313989">
                      <w:marLeft w:val="0"/>
                      <w:marRight w:val="0"/>
                      <w:marTop w:val="0"/>
                      <w:marBottom w:val="0"/>
                      <w:divBdr>
                        <w:top w:val="single" w:sz="6" w:space="3" w:color="AAAAAA"/>
                        <w:left w:val="single" w:sz="6" w:space="3" w:color="AAAAAA"/>
                        <w:bottom w:val="single" w:sz="6" w:space="3" w:color="AAAAAA"/>
                        <w:right w:val="single" w:sz="6" w:space="3" w:color="AAAAAA"/>
                      </w:divBdr>
                    </w:div>
                    <w:div w:id="1346712639">
                      <w:marLeft w:val="0"/>
                      <w:marRight w:val="0"/>
                      <w:marTop w:val="0"/>
                      <w:marBottom w:val="0"/>
                      <w:divBdr>
                        <w:top w:val="single" w:sz="6" w:space="3" w:color="AAAAAA"/>
                        <w:left w:val="single" w:sz="6" w:space="3" w:color="AAAAAA"/>
                        <w:bottom w:val="single" w:sz="6" w:space="3" w:color="AAAAAA"/>
                        <w:right w:val="single" w:sz="6" w:space="3" w:color="AAAAAA"/>
                      </w:divBdr>
                    </w:div>
                    <w:div w:id="1367439503">
                      <w:marLeft w:val="0"/>
                      <w:marRight w:val="0"/>
                      <w:marTop w:val="0"/>
                      <w:marBottom w:val="0"/>
                      <w:divBdr>
                        <w:top w:val="single" w:sz="6" w:space="3" w:color="AAAAAA"/>
                        <w:left w:val="single" w:sz="6" w:space="3" w:color="AAAAAA"/>
                        <w:bottom w:val="single" w:sz="6" w:space="3" w:color="AAAAAA"/>
                        <w:right w:val="single" w:sz="6" w:space="3" w:color="AAAAAA"/>
                      </w:divBdr>
                    </w:div>
                    <w:div w:id="1375084575">
                      <w:marLeft w:val="0"/>
                      <w:marRight w:val="0"/>
                      <w:marTop w:val="0"/>
                      <w:marBottom w:val="0"/>
                      <w:divBdr>
                        <w:top w:val="single" w:sz="6" w:space="3" w:color="AAAAAA"/>
                        <w:left w:val="single" w:sz="6" w:space="3" w:color="AAAAAA"/>
                        <w:bottom w:val="single" w:sz="6" w:space="3" w:color="AAAAAA"/>
                        <w:right w:val="single" w:sz="6" w:space="3" w:color="AAAAAA"/>
                      </w:divBdr>
                    </w:div>
                    <w:div w:id="1445029160">
                      <w:marLeft w:val="0"/>
                      <w:marRight w:val="0"/>
                      <w:marTop w:val="0"/>
                      <w:marBottom w:val="0"/>
                      <w:divBdr>
                        <w:top w:val="single" w:sz="6" w:space="3" w:color="AAAAAA"/>
                        <w:left w:val="single" w:sz="6" w:space="3" w:color="AAAAAA"/>
                        <w:bottom w:val="single" w:sz="6" w:space="3" w:color="AAAAAA"/>
                        <w:right w:val="single" w:sz="6" w:space="3" w:color="AAAAAA"/>
                      </w:divBdr>
                    </w:div>
                    <w:div w:id="1602568205">
                      <w:marLeft w:val="0"/>
                      <w:marRight w:val="0"/>
                      <w:marTop w:val="0"/>
                      <w:marBottom w:val="0"/>
                      <w:divBdr>
                        <w:top w:val="single" w:sz="6" w:space="3" w:color="AAAAAA"/>
                        <w:left w:val="single" w:sz="6" w:space="3" w:color="AAAAAA"/>
                        <w:bottom w:val="single" w:sz="6" w:space="3" w:color="AAAAAA"/>
                        <w:right w:val="single" w:sz="6" w:space="3" w:color="AAAAAA"/>
                      </w:divBdr>
                    </w:div>
                    <w:div w:id="1695645576">
                      <w:marLeft w:val="0"/>
                      <w:marRight w:val="0"/>
                      <w:marTop w:val="0"/>
                      <w:marBottom w:val="0"/>
                      <w:divBdr>
                        <w:top w:val="single" w:sz="6" w:space="3" w:color="AAAAAA"/>
                        <w:left w:val="single" w:sz="6" w:space="3" w:color="AAAAAA"/>
                        <w:bottom w:val="single" w:sz="6" w:space="3" w:color="AAAAAA"/>
                        <w:right w:val="single" w:sz="6" w:space="3" w:color="AAAAAA"/>
                      </w:divBdr>
                    </w:div>
                    <w:div w:id="1750544313">
                      <w:marLeft w:val="0"/>
                      <w:marRight w:val="0"/>
                      <w:marTop w:val="0"/>
                      <w:marBottom w:val="0"/>
                      <w:divBdr>
                        <w:top w:val="single" w:sz="6" w:space="3" w:color="AAAAAA"/>
                        <w:left w:val="single" w:sz="6" w:space="3" w:color="AAAAAA"/>
                        <w:bottom w:val="single" w:sz="6" w:space="3" w:color="AAAAAA"/>
                        <w:right w:val="single" w:sz="6" w:space="3" w:color="AAAAAA"/>
                      </w:divBdr>
                    </w:div>
                    <w:div w:id="1759978210">
                      <w:marLeft w:val="0"/>
                      <w:marRight w:val="0"/>
                      <w:marTop w:val="0"/>
                      <w:marBottom w:val="0"/>
                      <w:divBdr>
                        <w:top w:val="single" w:sz="6" w:space="3" w:color="AAAAAA"/>
                        <w:left w:val="single" w:sz="6" w:space="3" w:color="AAAAAA"/>
                        <w:bottom w:val="single" w:sz="6" w:space="3" w:color="AAAAAA"/>
                        <w:right w:val="single" w:sz="6" w:space="3" w:color="AAAAAA"/>
                      </w:divBdr>
                    </w:div>
                    <w:div w:id="1857309991">
                      <w:marLeft w:val="0"/>
                      <w:marRight w:val="0"/>
                      <w:marTop w:val="0"/>
                      <w:marBottom w:val="0"/>
                      <w:divBdr>
                        <w:top w:val="single" w:sz="6" w:space="3" w:color="AAAAAA"/>
                        <w:left w:val="single" w:sz="6" w:space="3" w:color="AAAAAA"/>
                        <w:bottom w:val="single" w:sz="6" w:space="3" w:color="AAAAAA"/>
                        <w:right w:val="single" w:sz="6" w:space="3" w:color="AAAAAA"/>
                      </w:divBdr>
                    </w:div>
                    <w:div w:id="2033991083">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ms190805.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Links>
    <vt:vector size="6" baseType="variant">
      <vt:variant>
        <vt:i4>4718668</vt:i4>
      </vt:variant>
      <vt:variant>
        <vt:i4>0</vt:i4>
      </vt:variant>
      <vt:variant>
        <vt:i4>0</vt:i4>
      </vt:variant>
      <vt:variant>
        <vt:i4>5</vt:i4>
      </vt:variant>
      <vt:variant>
        <vt:lpwstr>http://msdn.microsoft.com/en-us/library/ms190805.aspx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4</cp:revision>
  <dcterms:created xsi:type="dcterms:W3CDTF">2024-04-27T03:45:00Z</dcterms:created>
  <dcterms:modified xsi:type="dcterms:W3CDTF">2024-04-27T03:49:00Z</dcterms:modified>
</cp:coreProperties>
</file>