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6D2B" w14:textId="77777777" w:rsidR="00137889" w:rsidRDefault="00000000">
      <w:pPr>
        <w:spacing w:after="40"/>
        <w:jc w:val="center"/>
      </w:pPr>
      <w:r>
        <w:rPr>
          <w:b/>
          <w:bCs/>
          <w:caps/>
          <w:color w:val="1F3864"/>
          <w:sz w:val="32"/>
          <w:szCs w:val="32"/>
        </w:rPr>
        <w:t>EXPLORATORY DATA ANALYSIS REPORT</w:t>
      </w:r>
    </w:p>
    <w:p w14:paraId="27D36D2C" w14:textId="77777777" w:rsidR="00137889" w:rsidRDefault="00000000">
      <w:pPr>
        <w:spacing w:after="40"/>
        <w:jc w:val="center"/>
      </w:pPr>
      <w:r>
        <w:rPr>
          <w:b/>
          <w:bCs/>
          <w:color w:val="1D6FA4"/>
          <w:sz w:val="23"/>
          <w:szCs w:val="23"/>
        </w:rPr>
        <w:t>PowerGrid Utility Intelligence — Predictive Grid Failure Analytics</w:t>
      </w:r>
    </w:p>
    <w:p w14:paraId="27D36D2D" w14:textId="77777777" w:rsidR="00137889" w:rsidRDefault="00000000">
      <w:pPr>
        <w:pBdr>
          <w:bottom w:val="single" w:sz="10" w:space="4" w:color="1D6FA4"/>
        </w:pBdr>
        <w:spacing w:after="30"/>
        <w:jc w:val="center"/>
      </w:pPr>
      <w:r>
        <w:rPr>
          <w:i/>
          <w:iCs/>
          <w:color w:val="555555"/>
          <w:sz w:val="19"/>
          <w:szCs w:val="19"/>
        </w:rPr>
        <w:t xml:space="preserve">Dataset: 50,500 records | 32 features | Target: </w:t>
      </w:r>
      <w:proofErr w:type="spellStart"/>
      <w:r>
        <w:rPr>
          <w:i/>
          <w:iCs/>
          <w:color w:val="555555"/>
          <w:sz w:val="19"/>
          <w:szCs w:val="19"/>
        </w:rPr>
        <w:t>grid_failure_flag</w:t>
      </w:r>
      <w:proofErr w:type="spellEnd"/>
    </w:p>
    <w:p w14:paraId="27D36D2E" w14:textId="77777777" w:rsidR="00137889" w:rsidRDefault="0013788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31"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2F" w14:textId="77777777" w:rsidR="00137889" w:rsidRDefault="00000000">
            <w:pPr>
              <w:jc w:val="center"/>
            </w:pPr>
            <w:r>
              <w:rPr>
                <w:b/>
                <w:bCs/>
                <w:color w:val="FFFFFF"/>
                <w:sz w:val="22"/>
                <w:szCs w:val="22"/>
              </w:rPr>
              <w:t>STEP 1</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30" w14:textId="77777777" w:rsidR="00137889" w:rsidRDefault="00000000">
            <w:r>
              <w:rPr>
                <w:b/>
                <w:bCs/>
                <w:color w:val="1F3864"/>
                <w:sz w:val="22"/>
                <w:szCs w:val="22"/>
              </w:rPr>
              <w:t>Dataset Overview &amp; Target Variable Distribution</w:t>
            </w:r>
          </w:p>
        </w:tc>
      </w:tr>
    </w:tbl>
    <w:p w14:paraId="27D36D32" w14:textId="77777777" w:rsidR="00137889" w:rsidRDefault="00137889">
      <w:pPr>
        <w:spacing w:after="40"/>
      </w:pPr>
    </w:p>
    <w:p w14:paraId="27D36D33" w14:textId="77777777" w:rsidR="00137889" w:rsidRDefault="00000000">
      <w:pPr>
        <w:spacing w:before="160" w:after="60"/>
      </w:pPr>
      <w:r>
        <w:rPr>
          <w:b/>
          <w:bCs/>
          <w:color w:val="1D6FA4"/>
          <w:sz w:val="23"/>
          <w:szCs w:val="23"/>
        </w:rPr>
        <w:t>What we did</w:t>
      </w:r>
    </w:p>
    <w:p w14:paraId="27D36D34" w14:textId="77777777" w:rsidR="00137889" w:rsidRDefault="00000000">
      <w:pPr>
        <w:spacing w:before="50" w:after="50"/>
        <w:jc w:val="both"/>
      </w:pPr>
      <w:r>
        <w:rPr>
          <w:color w:val="222222"/>
          <w:sz w:val="19"/>
          <w:szCs w:val="19"/>
        </w:rPr>
        <w:t>The first step in any data science project is understanding the shape, size, and nature of the dataset. We load the raw CSV, inspect its dimensions, data types, and most importantly the distribution of the target variable (</w:t>
      </w:r>
      <w:proofErr w:type="spellStart"/>
      <w:r>
        <w:rPr>
          <w:color w:val="222222"/>
          <w:sz w:val="19"/>
          <w:szCs w:val="19"/>
        </w:rPr>
        <w:t>grid_failure_flag</w:t>
      </w:r>
      <w:proofErr w:type="spellEnd"/>
      <w:r>
        <w:rPr>
          <w:color w:val="222222"/>
          <w:sz w:val="19"/>
          <w:szCs w:val="19"/>
        </w:rPr>
        <w:t xml:space="preserve"> — the label we are trying to predict). This gives us a foundational understanding of what we are working with before any transformations.</w:t>
      </w:r>
    </w:p>
    <w:p w14:paraId="27D36D35" w14:textId="77777777" w:rsidR="00137889" w:rsidRDefault="00137889">
      <w:pPr>
        <w:spacing w:after="40"/>
      </w:pPr>
    </w:p>
    <w:p w14:paraId="27D36D36" w14:textId="77777777" w:rsidR="00137889" w:rsidRDefault="00000000">
      <w:pPr>
        <w:spacing w:before="100" w:after="100"/>
        <w:jc w:val="center"/>
      </w:pPr>
      <w:r>
        <w:rPr>
          <w:noProof/>
        </w:rPr>
        <w:drawing>
          <wp:inline distT="0" distB="0" distL="0" distR="0" wp14:anchorId="27D36E0C" wp14:editId="60DF3759">
            <wp:extent cx="5524500" cy="176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0329" cy="1799069"/>
                    </a:xfrm>
                    <a:prstGeom prst="rect">
                      <a:avLst/>
                    </a:prstGeom>
                  </pic:spPr>
                </pic:pic>
              </a:graphicData>
            </a:graphic>
          </wp:inline>
        </w:drawing>
      </w:r>
    </w:p>
    <w:p w14:paraId="27D36D37" w14:textId="77777777" w:rsidR="00137889" w:rsidRDefault="00137889">
      <w:pPr>
        <w:spacing w:after="40"/>
      </w:pPr>
    </w:p>
    <w:p w14:paraId="27D36D38" w14:textId="77777777" w:rsidR="00137889" w:rsidRDefault="00000000">
      <w:pPr>
        <w:spacing w:before="160" w:after="60"/>
      </w:pPr>
      <w:r>
        <w:rPr>
          <w:b/>
          <w:bCs/>
          <w:color w:val="1D6FA4"/>
          <w:sz w:val="23"/>
          <w:szCs w:val="23"/>
        </w:rPr>
        <w:t>What we interpret</w:t>
      </w:r>
    </w:p>
    <w:p w14:paraId="27D36D39" w14:textId="77777777" w:rsidR="00137889" w:rsidRDefault="00000000">
      <w:pPr>
        <w:pStyle w:val="ListParagraph"/>
        <w:numPr>
          <w:ilvl w:val="0"/>
          <w:numId w:val="2"/>
        </w:numPr>
        <w:spacing w:before="35" w:after="35"/>
      </w:pPr>
      <w:r>
        <w:rPr>
          <w:b/>
          <w:bCs/>
          <w:color w:val="1D6FA4"/>
          <w:sz w:val="19"/>
          <w:szCs w:val="19"/>
        </w:rPr>
        <w:t xml:space="preserve">Target Variable: </w:t>
      </w:r>
      <w:r>
        <w:rPr>
          <w:sz w:val="19"/>
          <w:szCs w:val="19"/>
        </w:rPr>
        <w:t>The dataset contains 28,775 non-failure records (57.0%) and 21,725 failure records (43.0%). This is a mild class imbalance — not severe enough to ignore but significant enough to require SMOTE oversampling or class-weight balancing during modelling to prevent the model from defaulting to always predicting "no failure".</w:t>
      </w:r>
    </w:p>
    <w:p w14:paraId="27D36D3A" w14:textId="77777777" w:rsidR="00137889" w:rsidRDefault="00000000">
      <w:pPr>
        <w:pStyle w:val="ListParagraph"/>
        <w:numPr>
          <w:ilvl w:val="0"/>
          <w:numId w:val="2"/>
        </w:numPr>
        <w:spacing w:before="35" w:after="35"/>
      </w:pPr>
      <w:r>
        <w:rPr>
          <w:b/>
          <w:bCs/>
          <w:color w:val="1D6FA4"/>
          <w:sz w:val="19"/>
          <w:szCs w:val="19"/>
        </w:rPr>
        <w:t xml:space="preserve">Asset Types: </w:t>
      </w:r>
      <w:r>
        <w:rPr>
          <w:sz w:val="19"/>
          <w:szCs w:val="19"/>
        </w:rPr>
        <w:t xml:space="preserve">The five asset types (Transformer, Switchgear, Circuit Breaker, Substation, Transmission Line) are </w:t>
      </w:r>
      <w:proofErr w:type="gramStart"/>
      <w:r>
        <w:rPr>
          <w:sz w:val="19"/>
          <w:szCs w:val="19"/>
        </w:rPr>
        <w:t>fairly evenly</w:t>
      </w:r>
      <w:proofErr w:type="gramEnd"/>
      <w:r>
        <w:rPr>
          <w:sz w:val="19"/>
          <w:szCs w:val="19"/>
        </w:rPr>
        <w:t xml:space="preserve"> distributed at approximately 20% each — no single asset type dominates the dataset, giving us balanced representation across all equipment classes.</w:t>
      </w:r>
    </w:p>
    <w:p w14:paraId="27D36D3B" w14:textId="77777777" w:rsidR="00137889" w:rsidRDefault="00000000">
      <w:pPr>
        <w:pStyle w:val="ListParagraph"/>
        <w:numPr>
          <w:ilvl w:val="0"/>
          <w:numId w:val="2"/>
        </w:numPr>
        <w:spacing w:before="35" w:after="35"/>
      </w:pPr>
      <w:r>
        <w:rPr>
          <w:b/>
          <w:bCs/>
          <w:color w:val="1D6FA4"/>
          <w:sz w:val="19"/>
          <w:szCs w:val="19"/>
        </w:rPr>
        <w:t xml:space="preserve">Regional Balance: </w:t>
      </w:r>
      <w:r>
        <w:rPr>
          <w:sz w:val="19"/>
          <w:szCs w:val="19"/>
        </w:rPr>
        <w:t>All five geographic regions (East, South, Central, North, West) are equally represented with approximately 10,000 assets each, confirming there is no regional data collection bias.</w:t>
      </w:r>
    </w:p>
    <w:p w14:paraId="27D36D3C"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3F" w14:textId="77777777">
        <w:tblPrEx>
          <w:tblCellMar>
            <w:top w:w="0" w:type="dxa"/>
            <w:bottom w:w="0" w:type="dxa"/>
          </w:tblCellMar>
        </w:tblPrEx>
        <w:tc>
          <w:tcPr>
            <w:tcW w:w="9360" w:type="dxa"/>
            <w:tcBorders>
              <w:top w:val="single" w:sz="10" w:space="0" w:color="B7770D"/>
              <w:left w:val="single" w:sz="12" w:space="0" w:color="B7770D"/>
              <w:bottom w:val="single" w:sz="4" w:space="0" w:color="B7770D"/>
              <w:right w:val="single" w:sz="4" w:space="0" w:color="B7770D"/>
            </w:tcBorders>
            <w:shd w:val="clear" w:color="auto" w:fill="FFF8E1"/>
            <w:tcMar>
              <w:top w:w="100" w:type="dxa"/>
              <w:left w:w="160" w:type="dxa"/>
              <w:bottom w:w="100" w:type="dxa"/>
              <w:right w:w="160" w:type="dxa"/>
            </w:tcMar>
          </w:tcPr>
          <w:p w14:paraId="27D36D3D" w14:textId="77777777" w:rsidR="00137889" w:rsidRDefault="00000000">
            <w:pPr>
              <w:spacing w:after="40"/>
            </w:pPr>
            <w:proofErr w:type="gramStart"/>
            <w:r>
              <w:rPr>
                <w:b/>
                <w:bCs/>
                <w:color w:val="B7770D"/>
              </w:rPr>
              <w:t>💡  Key</w:t>
            </w:r>
            <w:proofErr w:type="gramEnd"/>
            <w:r>
              <w:rPr>
                <w:b/>
                <w:bCs/>
                <w:color w:val="B7770D"/>
              </w:rPr>
              <w:t xml:space="preserve"> Insight</w:t>
            </w:r>
          </w:p>
          <w:p w14:paraId="27D36D3E" w14:textId="77777777" w:rsidR="00137889" w:rsidRDefault="00000000">
            <w:pPr>
              <w:jc w:val="both"/>
            </w:pPr>
            <w:r>
              <w:rPr>
                <w:color w:val="222222"/>
                <w:sz w:val="19"/>
                <w:szCs w:val="19"/>
              </w:rPr>
              <w:t>With 43% of assets labeled as failures, the dataset has sufficient failure examples for the model to learn meaningful patterns. However, the imbalance must still be addressed — without correction, a naive model could achieve 57% accuracy simply by predicting "no failure" for every asset, which would be useless in practice.</w:t>
            </w:r>
          </w:p>
        </w:tc>
      </w:tr>
    </w:tbl>
    <w:p w14:paraId="27D36D40"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43"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41" w14:textId="77777777" w:rsidR="00137889" w:rsidRDefault="00000000">
            <w:pPr>
              <w:jc w:val="center"/>
            </w:pPr>
            <w:r>
              <w:rPr>
                <w:b/>
                <w:bCs/>
                <w:color w:val="FFFFFF"/>
                <w:sz w:val="22"/>
                <w:szCs w:val="22"/>
              </w:rPr>
              <w:t>STEP 2</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42" w14:textId="77777777" w:rsidR="00137889" w:rsidRDefault="00000000">
            <w:r>
              <w:rPr>
                <w:b/>
                <w:bCs/>
                <w:color w:val="1F3864"/>
                <w:sz w:val="22"/>
                <w:szCs w:val="22"/>
              </w:rPr>
              <w:t>Data Quality Assessment</w:t>
            </w:r>
          </w:p>
        </w:tc>
      </w:tr>
    </w:tbl>
    <w:p w14:paraId="27D36D44" w14:textId="77777777" w:rsidR="00137889" w:rsidRDefault="00137889">
      <w:pPr>
        <w:spacing w:after="40"/>
      </w:pPr>
    </w:p>
    <w:p w14:paraId="27D36D45" w14:textId="77777777" w:rsidR="00137889" w:rsidRDefault="00000000">
      <w:pPr>
        <w:spacing w:before="160" w:after="60"/>
      </w:pPr>
      <w:r>
        <w:rPr>
          <w:b/>
          <w:bCs/>
          <w:color w:val="1D6FA4"/>
          <w:sz w:val="23"/>
          <w:szCs w:val="23"/>
        </w:rPr>
        <w:t>What we did</w:t>
      </w:r>
    </w:p>
    <w:p w14:paraId="27D36D46" w14:textId="77777777" w:rsidR="00137889" w:rsidRDefault="00000000">
      <w:pPr>
        <w:spacing w:before="50" w:after="50"/>
        <w:jc w:val="both"/>
      </w:pPr>
      <w:r>
        <w:rPr>
          <w:color w:val="222222"/>
          <w:sz w:val="19"/>
          <w:szCs w:val="19"/>
        </w:rPr>
        <w:t xml:space="preserve">Before building any model, we must understand the quality of the raw data. This step identifies missing values, inconsistencies, and irrelevant columns that could corrupt model training. Two issues were immediately identified: missing values in two important feature columns, and inconsistent casing in the </w:t>
      </w:r>
      <w:proofErr w:type="spellStart"/>
      <w:r>
        <w:rPr>
          <w:color w:val="222222"/>
          <w:sz w:val="19"/>
          <w:szCs w:val="19"/>
        </w:rPr>
        <w:t>asset_type</w:t>
      </w:r>
      <w:proofErr w:type="spellEnd"/>
      <w:r>
        <w:rPr>
          <w:color w:val="222222"/>
          <w:sz w:val="19"/>
          <w:szCs w:val="19"/>
        </w:rPr>
        <w:t xml:space="preserve"> field.</w:t>
      </w:r>
    </w:p>
    <w:p w14:paraId="27D36D47" w14:textId="77777777" w:rsidR="00137889" w:rsidRDefault="00137889">
      <w:pPr>
        <w:spacing w:after="40"/>
      </w:pPr>
    </w:p>
    <w:p w14:paraId="27D36D48" w14:textId="77777777" w:rsidR="00137889" w:rsidRDefault="00000000">
      <w:pPr>
        <w:spacing w:before="100" w:after="100"/>
        <w:jc w:val="center"/>
      </w:pPr>
      <w:r>
        <w:rPr>
          <w:noProof/>
        </w:rPr>
        <w:lastRenderedPageBreak/>
        <w:drawing>
          <wp:inline distT="0" distB="0" distL="0" distR="0" wp14:anchorId="27D36E0E" wp14:editId="3F0F441E">
            <wp:extent cx="5524500" cy="2105025"/>
            <wp:effectExtent l="0" t="0" r="0" b="9525"/>
            <wp:docPr id="877175608" name="Picture 87717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105025"/>
                    </a:xfrm>
                    <a:prstGeom prst="rect">
                      <a:avLst/>
                    </a:prstGeom>
                  </pic:spPr>
                </pic:pic>
              </a:graphicData>
            </a:graphic>
          </wp:inline>
        </w:drawing>
      </w:r>
    </w:p>
    <w:p w14:paraId="27D36D49" w14:textId="77777777" w:rsidR="00137889" w:rsidRDefault="00137889">
      <w:pPr>
        <w:spacing w:after="40"/>
      </w:pPr>
    </w:p>
    <w:p w14:paraId="27D36D4A" w14:textId="77777777" w:rsidR="00137889" w:rsidRDefault="00000000">
      <w:pPr>
        <w:spacing w:before="160" w:after="60"/>
      </w:pPr>
      <w:r>
        <w:rPr>
          <w:b/>
          <w:bCs/>
          <w:color w:val="1D6FA4"/>
          <w:sz w:val="23"/>
          <w:szCs w:val="23"/>
        </w:rPr>
        <w:t>What we interpret</w:t>
      </w:r>
    </w:p>
    <w:p w14:paraId="27D36D4B" w14:textId="77777777" w:rsidR="00137889" w:rsidRDefault="00000000">
      <w:pPr>
        <w:pStyle w:val="ListParagraph"/>
        <w:numPr>
          <w:ilvl w:val="0"/>
          <w:numId w:val="2"/>
        </w:numPr>
        <w:spacing w:before="35" w:after="35"/>
      </w:pPr>
      <w:r>
        <w:rPr>
          <w:b/>
          <w:bCs/>
          <w:color w:val="1D6FA4"/>
          <w:sz w:val="19"/>
          <w:szCs w:val="19"/>
        </w:rPr>
        <w:t xml:space="preserve">Missing Values — </w:t>
      </w:r>
      <w:proofErr w:type="spellStart"/>
      <w:r>
        <w:rPr>
          <w:b/>
          <w:bCs/>
          <w:color w:val="1D6FA4"/>
          <w:sz w:val="19"/>
          <w:szCs w:val="19"/>
        </w:rPr>
        <w:t>oil_quality_score</w:t>
      </w:r>
      <w:proofErr w:type="spellEnd"/>
      <w:r>
        <w:rPr>
          <w:b/>
          <w:bCs/>
          <w:color w:val="1D6FA4"/>
          <w:sz w:val="19"/>
          <w:szCs w:val="19"/>
        </w:rPr>
        <w:t xml:space="preserve">: </w:t>
      </w:r>
      <w:r>
        <w:rPr>
          <w:sz w:val="19"/>
          <w:szCs w:val="19"/>
        </w:rPr>
        <w:t xml:space="preserve">5,048 records (10.0% of dataset) have no oil quality reading. This is a critical failure precursor feature and cannot simply be dropped. We will impute using the median value grouped by </w:t>
      </w:r>
      <w:proofErr w:type="spellStart"/>
      <w:r>
        <w:rPr>
          <w:sz w:val="19"/>
          <w:szCs w:val="19"/>
        </w:rPr>
        <w:t>asset_type</w:t>
      </w:r>
      <w:proofErr w:type="spellEnd"/>
      <w:r>
        <w:rPr>
          <w:sz w:val="19"/>
          <w:szCs w:val="19"/>
        </w:rPr>
        <w:t>, which preserves the distribution without introducing noise.</w:t>
      </w:r>
    </w:p>
    <w:p w14:paraId="27D36D4C" w14:textId="77777777" w:rsidR="00137889" w:rsidRDefault="00000000">
      <w:pPr>
        <w:pStyle w:val="ListParagraph"/>
        <w:numPr>
          <w:ilvl w:val="0"/>
          <w:numId w:val="2"/>
        </w:numPr>
        <w:spacing w:before="35" w:after="35"/>
      </w:pPr>
      <w:r>
        <w:rPr>
          <w:b/>
          <w:bCs/>
          <w:color w:val="1D6FA4"/>
          <w:sz w:val="19"/>
          <w:szCs w:val="19"/>
        </w:rPr>
        <w:t xml:space="preserve">Missing Values — </w:t>
      </w:r>
      <w:proofErr w:type="spellStart"/>
      <w:r>
        <w:rPr>
          <w:b/>
          <w:bCs/>
          <w:color w:val="1D6FA4"/>
          <w:sz w:val="19"/>
          <w:szCs w:val="19"/>
        </w:rPr>
        <w:t>inspection_score</w:t>
      </w:r>
      <w:proofErr w:type="spellEnd"/>
      <w:r>
        <w:rPr>
          <w:b/>
          <w:bCs/>
          <w:color w:val="1D6FA4"/>
          <w:sz w:val="19"/>
          <w:szCs w:val="19"/>
        </w:rPr>
        <w:t xml:space="preserve">: </w:t>
      </w:r>
      <w:r>
        <w:rPr>
          <w:sz w:val="19"/>
          <w:szCs w:val="19"/>
        </w:rPr>
        <w:t>5,109 records (10.1%) are missing inspection scores. Same strategy applies — median imputation by asset group. Together, these two columns account for the only data quality gaps in the dataset.</w:t>
      </w:r>
    </w:p>
    <w:p w14:paraId="27D36D4D" w14:textId="77777777" w:rsidR="00137889" w:rsidRDefault="00000000">
      <w:pPr>
        <w:pStyle w:val="ListParagraph"/>
        <w:numPr>
          <w:ilvl w:val="0"/>
          <w:numId w:val="2"/>
        </w:numPr>
        <w:spacing w:before="35" w:after="35"/>
      </w:pPr>
      <w:r>
        <w:rPr>
          <w:b/>
          <w:bCs/>
          <w:color w:val="1D6FA4"/>
          <w:sz w:val="19"/>
          <w:szCs w:val="19"/>
        </w:rPr>
        <w:t xml:space="preserve">Casing Inconsistency — </w:t>
      </w:r>
      <w:proofErr w:type="spellStart"/>
      <w:r>
        <w:rPr>
          <w:b/>
          <w:bCs/>
          <w:color w:val="1D6FA4"/>
          <w:sz w:val="19"/>
          <w:szCs w:val="19"/>
        </w:rPr>
        <w:t>asset_type</w:t>
      </w:r>
      <w:proofErr w:type="spellEnd"/>
      <w:r>
        <w:rPr>
          <w:b/>
          <w:bCs/>
          <w:color w:val="1D6FA4"/>
          <w:sz w:val="19"/>
          <w:szCs w:val="19"/>
        </w:rPr>
        <w:t xml:space="preserve">: </w:t>
      </w:r>
      <w:r>
        <w:rPr>
          <w:sz w:val="19"/>
          <w:szCs w:val="19"/>
        </w:rPr>
        <w:t xml:space="preserve">"Transformer" appears correctly as 10,253 records, but also as "TRANSFORMER" (715 records) and "transformer" (640 records). Python treats these as three different categories. If left uncorrected, the model would learn from three artificial transformer groups instead of one. Fix: </w:t>
      </w:r>
      <w:proofErr w:type="spellStart"/>
      <w:r>
        <w:rPr>
          <w:sz w:val="19"/>
          <w:szCs w:val="19"/>
        </w:rPr>
        <w:t>df</w:t>
      </w:r>
      <w:proofErr w:type="spellEnd"/>
      <w:r>
        <w:rPr>
          <w:sz w:val="19"/>
          <w:szCs w:val="19"/>
        </w:rPr>
        <w:t>["</w:t>
      </w:r>
      <w:proofErr w:type="spellStart"/>
      <w:r>
        <w:rPr>
          <w:sz w:val="19"/>
          <w:szCs w:val="19"/>
        </w:rPr>
        <w:t>asset_type</w:t>
      </w:r>
      <w:proofErr w:type="spellEnd"/>
      <w:r>
        <w:rPr>
          <w:sz w:val="19"/>
          <w:szCs w:val="19"/>
        </w:rPr>
        <w:t xml:space="preserve">"] = </w:t>
      </w:r>
      <w:proofErr w:type="spellStart"/>
      <w:r>
        <w:rPr>
          <w:sz w:val="19"/>
          <w:szCs w:val="19"/>
        </w:rPr>
        <w:t>df</w:t>
      </w:r>
      <w:proofErr w:type="spellEnd"/>
      <w:r>
        <w:rPr>
          <w:sz w:val="19"/>
          <w:szCs w:val="19"/>
        </w:rPr>
        <w:t>["</w:t>
      </w:r>
      <w:proofErr w:type="spellStart"/>
      <w:r>
        <w:rPr>
          <w:sz w:val="19"/>
          <w:szCs w:val="19"/>
        </w:rPr>
        <w:t>asset_type</w:t>
      </w:r>
      <w:proofErr w:type="spellEnd"/>
      <w:r>
        <w:rPr>
          <w:sz w:val="19"/>
          <w:szCs w:val="19"/>
        </w:rPr>
        <w:t>"].</w:t>
      </w:r>
      <w:proofErr w:type="spellStart"/>
      <w:proofErr w:type="gramStart"/>
      <w:r>
        <w:rPr>
          <w:sz w:val="19"/>
          <w:szCs w:val="19"/>
        </w:rPr>
        <w:t>str.strip</w:t>
      </w:r>
      <w:proofErr w:type="spellEnd"/>
      <w:proofErr w:type="gramEnd"/>
      <w:r>
        <w:rPr>
          <w:sz w:val="19"/>
          <w:szCs w:val="19"/>
        </w:rPr>
        <w:t>().</w:t>
      </w:r>
      <w:proofErr w:type="spellStart"/>
      <w:proofErr w:type="gramStart"/>
      <w:r>
        <w:rPr>
          <w:sz w:val="19"/>
          <w:szCs w:val="19"/>
        </w:rPr>
        <w:t>str.title</w:t>
      </w:r>
      <w:proofErr w:type="spellEnd"/>
      <w:proofErr w:type="gramEnd"/>
      <w:r>
        <w:rPr>
          <w:sz w:val="19"/>
          <w:szCs w:val="19"/>
        </w:rPr>
        <w:t>()</w:t>
      </w:r>
    </w:p>
    <w:p w14:paraId="27D36D4E" w14:textId="77777777" w:rsidR="00137889" w:rsidRDefault="00000000">
      <w:pPr>
        <w:pStyle w:val="ListParagraph"/>
        <w:numPr>
          <w:ilvl w:val="0"/>
          <w:numId w:val="2"/>
        </w:numPr>
        <w:spacing w:before="35" w:after="35"/>
      </w:pPr>
      <w:r>
        <w:rPr>
          <w:b/>
          <w:bCs/>
          <w:color w:val="1D6FA4"/>
          <w:sz w:val="19"/>
          <w:szCs w:val="19"/>
        </w:rPr>
        <w:t xml:space="preserve">Legacy Columns to Drop: </w:t>
      </w:r>
      <w:proofErr w:type="spellStart"/>
      <w:r>
        <w:rPr>
          <w:sz w:val="19"/>
          <w:szCs w:val="19"/>
        </w:rPr>
        <w:t>legacy_asset_code</w:t>
      </w:r>
      <w:proofErr w:type="spellEnd"/>
      <w:r>
        <w:rPr>
          <w:sz w:val="19"/>
          <w:szCs w:val="19"/>
        </w:rPr>
        <w:t xml:space="preserve">, </w:t>
      </w:r>
      <w:proofErr w:type="spellStart"/>
      <w:r>
        <w:rPr>
          <w:sz w:val="19"/>
          <w:szCs w:val="19"/>
        </w:rPr>
        <w:t>monitoring_batch_id</w:t>
      </w:r>
      <w:proofErr w:type="spellEnd"/>
      <w:r>
        <w:rPr>
          <w:sz w:val="19"/>
          <w:szCs w:val="19"/>
        </w:rPr>
        <w:t xml:space="preserve">, and </w:t>
      </w:r>
      <w:proofErr w:type="spellStart"/>
      <w:r>
        <w:rPr>
          <w:sz w:val="19"/>
          <w:szCs w:val="19"/>
        </w:rPr>
        <w:t>administrative_reference</w:t>
      </w:r>
      <w:proofErr w:type="spellEnd"/>
      <w:r>
        <w:rPr>
          <w:sz w:val="19"/>
          <w:szCs w:val="19"/>
        </w:rPr>
        <w:t xml:space="preserve"> carry no predictive signal. They are system-generated identifiers with no relationship to failure outcomes and will be excluded from modelling.</w:t>
      </w:r>
    </w:p>
    <w:p w14:paraId="27D36D4F"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52" w14:textId="77777777">
        <w:tblPrEx>
          <w:tblCellMar>
            <w:top w:w="0" w:type="dxa"/>
            <w:bottom w:w="0" w:type="dxa"/>
          </w:tblCellMar>
        </w:tblPrEx>
        <w:tc>
          <w:tcPr>
            <w:tcW w:w="9360" w:type="dxa"/>
            <w:tcBorders>
              <w:top w:val="single" w:sz="10" w:space="0" w:color="1D6FA4"/>
              <w:left w:val="single" w:sz="12" w:space="0" w:color="1D6FA4"/>
              <w:bottom w:val="single" w:sz="4" w:space="0" w:color="1D6FA4"/>
              <w:right w:val="single" w:sz="4" w:space="0" w:color="1D6FA4"/>
            </w:tcBorders>
            <w:shd w:val="clear" w:color="auto" w:fill="E6F4FB"/>
            <w:tcMar>
              <w:top w:w="100" w:type="dxa"/>
              <w:left w:w="160" w:type="dxa"/>
              <w:bottom w:w="100" w:type="dxa"/>
              <w:right w:w="160" w:type="dxa"/>
            </w:tcMar>
          </w:tcPr>
          <w:p w14:paraId="27D36D50" w14:textId="77777777" w:rsidR="00137889" w:rsidRDefault="00000000">
            <w:pPr>
              <w:spacing w:after="40"/>
            </w:pPr>
            <w:proofErr w:type="gramStart"/>
            <w:r>
              <w:rPr>
                <w:b/>
                <w:bCs/>
                <w:color w:val="1D6FA4"/>
              </w:rPr>
              <w:t>💡  Key</w:t>
            </w:r>
            <w:proofErr w:type="gramEnd"/>
            <w:r>
              <w:rPr>
                <w:b/>
                <w:bCs/>
                <w:color w:val="1D6FA4"/>
              </w:rPr>
              <w:t xml:space="preserve"> Insight</w:t>
            </w:r>
          </w:p>
          <w:p w14:paraId="27D36D51" w14:textId="77777777" w:rsidR="00137889" w:rsidRDefault="00000000">
            <w:pPr>
              <w:jc w:val="both"/>
            </w:pPr>
            <w:r>
              <w:rPr>
                <w:color w:val="222222"/>
                <w:sz w:val="19"/>
                <w:szCs w:val="19"/>
              </w:rPr>
              <w:t xml:space="preserve">Data quality issues were limited and targeted — only 2 columns with ~10% missing values each, and one categorical encoding inconsistency. This is excellent data quality for a real-world utility dataset. After imputation and </w:t>
            </w:r>
            <w:proofErr w:type="spellStart"/>
            <w:r>
              <w:rPr>
                <w:color w:val="222222"/>
                <w:sz w:val="19"/>
                <w:szCs w:val="19"/>
              </w:rPr>
              <w:t>normalisation</w:t>
            </w:r>
            <w:proofErr w:type="spellEnd"/>
            <w:r>
              <w:rPr>
                <w:color w:val="222222"/>
                <w:sz w:val="19"/>
                <w:szCs w:val="19"/>
              </w:rPr>
              <w:t>, the dataset will be fully ready for feature engineering and modelling.</w:t>
            </w:r>
          </w:p>
        </w:tc>
      </w:tr>
    </w:tbl>
    <w:p w14:paraId="27D36D53"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56"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54" w14:textId="77777777" w:rsidR="00137889" w:rsidRDefault="00000000">
            <w:pPr>
              <w:jc w:val="center"/>
            </w:pPr>
            <w:r>
              <w:rPr>
                <w:b/>
                <w:bCs/>
                <w:color w:val="FFFFFF"/>
                <w:sz w:val="22"/>
                <w:szCs w:val="22"/>
              </w:rPr>
              <w:t>STEP 3</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55" w14:textId="77777777" w:rsidR="00137889" w:rsidRDefault="00000000">
            <w:r>
              <w:rPr>
                <w:b/>
                <w:bCs/>
                <w:color w:val="1F3864"/>
                <w:sz w:val="22"/>
                <w:szCs w:val="22"/>
              </w:rPr>
              <w:t>Univariate Analysis — Key Feature Distributions</w:t>
            </w:r>
          </w:p>
        </w:tc>
      </w:tr>
    </w:tbl>
    <w:p w14:paraId="27D36D57" w14:textId="77777777" w:rsidR="00137889" w:rsidRDefault="00137889">
      <w:pPr>
        <w:spacing w:after="40"/>
      </w:pPr>
    </w:p>
    <w:p w14:paraId="27D36D58" w14:textId="77777777" w:rsidR="00137889" w:rsidRDefault="00000000">
      <w:pPr>
        <w:spacing w:before="160" w:after="60"/>
      </w:pPr>
      <w:r>
        <w:rPr>
          <w:b/>
          <w:bCs/>
          <w:color w:val="1D6FA4"/>
          <w:sz w:val="23"/>
          <w:szCs w:val="23"/>
        </w:rPr>
        <w:t>What we did</w:t>
      </w:r>
    </w:p>
    <w:p w14:paraId="27D36D59" w14:textId="77777777" w:rsidR="00137889" w:rsidRDefault="00000000">
      <w:pPr>
        <w:spacing w:before="50" w:after="50"/>
        <w:jc w:val="both"/>
      </w:pPr>
      <w:r>
        <w:rPr>
          <w:color w:val="222222"/>
          <w:sz w:val="19"/>
          <w:szCs w:val="19"/>
        </w:rPr>
        <w:t>Univariate analysis examines each feature independently, comparing its distribution between failed and non-failed assets. Overlapping histograms are used to reveal whether a feature's values shift meaningfully between the two classes. Features with clear separation between the two distributions are strong failure predictors.</w:t>
      </w:r>
    </w:p>
    <w:p w14:paraId="27D36D5A" w14:textId="77777777" w:rsidR="00137889" w:rsidRDefault="00137889">
      <w:pPr>
        <w:spacing w:after="40"/>
      </w:pPr>
    </w:p>
    <w:p w14:paraId="27D36D5B" w14:textId="77777777" w:rsidR="00137889" w:rsidRDefault="00000000">
      <w:pPr>
        <w:spacing w:before="100" w:after="100"/>
        <w:jc w:val="center"/>
      </w:pPr>
      <w:r>
        <w:rPr>
          <w:noProof/>
        </w:rPr>
        <w:lastRenderedPageBreak/>
        <w:drawing>
          <wp:inline distT="0" distB="0" distL="0" distR="0" wp14:anchorId="27D36E10" wp14:editId="27D36E11">
            <wp:extent cx="5524500" cy="3095625"/>
            <wp:effectExtent l="0" t="0" r="0" b="0"/>
            <wp:docPr id="787077505" name="Picture 78707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95625"/>
                    </a:xfrm>
                    <a:prstGeom prst="rect">
                      <a:avLst/>
                    </a:prstGeom>
                  </pic:spPr>
                </pic:pic>
              </a:graphicData>
            </a:graphic>
          </wp:inline>
        </w:drawing>
      </w:r>
    </w:p>
    <w:p w14:paraId="27D36D5C" w14:textId="77777777" w:rsidR="00137889" w:rsidRDefault="00137889">
      <w:pPr>
        <w:spacing w:after="40"/>
      </w:pPr>
    </w:p>
    <w:p w14:paraId="27D36D5D" w14:textId="77777777" w:rsidR="00137889" w:rsidRDefault="00000000">
      <w:pPr>
        <w:spacing w:before="160" w:after="60"/>
      </w:pPr>
      <w:r>
        <w:rPr>
          <w:b/>
          <w:bCs/>
          <w:color w:val="1D6FA4"/>
          <w:sz w:val="23"/>
          <w:szCs w:val="23"/>
        </w:rPr>
        <w:t>What we interpret</w:t>
      </w:r>
    </w:p>
    <w:p w14:paraId="27D36D5E" w14:textId="77777777" w:rsidR="00137889" w:rsidRDefault="00000000">
      <w:pPr>
        <w:pStyle w:val="ListParagraph"/>
        <w:numPr>
          <w:ilvl w:val="0"/>
          <w:numId w:val="2"/>
        </w:numPr>
        <w:spacing w:before="35" w:after="35"/>
      </w:pPr>
      <w:r>
        <w:rPr>
          <w:b/>
          <w:bCs/>
          <w:color w:val="1D6FA4"/>
          <w:sz w:val="19"/>
          <w:szCs w:val="19"/>
        </w:rPr>
        <w:t xml:space="preserve">Equipment Health Score: </w:t>
      </w:r>
      <w:r>
        <w:rPr>
          <w:sz w:val="19"/>
          <w:szCs w:val="19"/>
        </w:rPr>
        <w:t xml:space="preserve">Failed assets have a mean health score of 40.5 vs 57.5 for non-failed assets — a clear, large separation. Low health score is the strongest individual failure indicator in the dataset. The two distributions show minimal overlap, confirming </w:t>
      </w:r>
      <w:proofErr w:type="gramStart"/>
      <w:r>
        <w:rPr>
          <w:sz w:val="19"/>
          <w:szCs w:val="19"/>
        </w:rPr>
        <w:t>its</w:t>
      </w:r>
      <w:proofErr w:type="gramEnd"/>
      <w:r>
        <w:rPr>
          <w:sz w:val="19"/>
          <w:szCs w:val="19"/>
        </w:rPr>
        <w:t xml:space="preserve"> high predictive value.</w:t>
      </w:r>
    </w:p>
    <w:p w14:paraId="27D36D5F" w14:textId="77777777" w:rsidR="00137889" w:rsidRDefault="00000000">
      <w:pPr>
        <w:pStyle w:val="ListParagraph"/>
        <w:numPr>
          <w:ilvl w:val="0"/>
          <w:numId w:val="2"/>
        </w:numPr>
        <w:spacing w:before="35" w:after="35"/>
      </w:pPr>
      <w:r>
        <w:rPr>
          <w:b/>
          <w:bCs/>
          <w:color w:val="1D6FA4"/>
          <w:sz w:val="19"/>
          <w:szCs w:val="19"/>
        </w:rPr>
        <w:t xml:space="preserve">Storm Risk Index: </w:t>
      </w:r>
      <w:r>
        <w:rPr>
          <w:sz w:val="19"/>
          <w:szCs w:val="19"/>
        </w:rPr>
        <w:t>Failed assets experience significantly higher storm risk (mean 58.5) than non-failed assets (mean 43.5). Climate exposure is a powerful failure amplifier, especially when combined with aging equipment.</w:t>
      </w:r>
    </w:p>
    <w:p w14:paraId="27D36D60" w14:textId="77777777" w:rsidR="00137889" w:rsidRDefault="00000000">
      <w:pPr>
        <w:pStyle w:val="ListParagraph"/>
        <w:numPr>
          <w:ilvl w:val="0"/>
          <w:numId w:val="2"/>
        </w:numPr>
        <w:spacing w:before="35" w:after="35"/>
      </w:pPr>
      <w:r>
        <w:rPr>
          <w:b/>
          <w:bCs/>
          <w:color w:val="1D6FA4"/>
          <w:sz w:val="19"/>
          <w:szCs w:val="19"/>
        </w:rPr>
        <w:t xml:space="preserve">Maintenance Overdue Days: </w:t>
      </w:r>
      <w:r>
        <w:rPr>
          <w:sz w:val="19"/>
          <w:szCs w:val="19"/>
        </w:rPr>
        <w:t>Failed assets average 101 overdue days vs 80 days for healthy assets. Deferred maintenance is a controllable risk factor — the data confirms that assets allowed to go without servicing are materially more likely to fail.</w:t>
      </w:r>
    </w:p>
    <w:p w14:paraId="27D36D61" w14:textId="77777777" w:rsidR="00137889" w:rsidRDefault="00000000">
      <w:pPr>
        <w:pStyle w:val="ListParagraph"/>
        <w:numPr>
          <w:ilvl w:val="0"/>
          <w:numId w:val="2"/>
        </w:numPr>
        <w:spacing w:before="35" w:after="35"/>
      </w:pPr>
      <w:r>
        <w:rPr>
          <w:b/>
          <w:bCs/>
          <w:color w:val="1D6FA4"/>
          <w:sz w:val="19"/>
          <w:szCs w:val="19"/>
        </w:rPr>
        <w:t xml:space="preserve">Voltage Fluctuation (%): </w:t>
      </w:r>
      <w:r>
        <w:rPr>
          <w:sz w:val="19"/>
          <w:szCs w:val="19"/>
        </w:rPr>
        <w:t>Failed assets show higher voltage instability (mean 8.5%) compared to healthy assets (6.8%). This suggests grid stress is both a cause and early warning signal of failure.</w:t>
      </w:r>
    </w:p>
    <w:p w14:paraId="27D36D62" w14:textId="77777777" w:rsidR="00137889" w:rsidRDefault="00000000">
      <w:pPr>
        <w:pStyle w:val="ListParagraph"/>
        <w:numPr>
          <w:ilvl w:val="0"/>
          <w:numId w:val="2"/>
        </w:numPr>
        <w:spacing w:before="35" w:after="35"/>
      </w:pPr>
      <w:r>
        <w:rPr>
          <w:b/>
          <w:bCs/>
          <w:color w:val="1D6FA4"/>
          <w:sz w:val="19"/>
          <w:szCs w:val="19"/>
        </w:rPr>
        <w:t xml:space="preserve">Load Utilization (%): </w:t>
      </w:r>
      <w:r>
        <w:rPr>
          <w:sz w:val="19"/>
          <w:szCs w:val="19"/>
        </w:rPr>
        <w:t>Failure assets operate at higher average load (68.4%) vs non-failed (62.5%). Assets running near capacity have less resilience to handle surges or faults.</w:t>
      </w:r>
    </w:p>
    <w:p w14:paraId="27D36D63" w14:textId="77777777" w:rsidR="00137889" w:rsidRDefault="00000000">
      <w:pPr>
        <w:pStyle w:val="ListParagraph"/>
        <w:numPr>
          <w:ilvl w:val="0"/>
          <w:numId w:val="2"/>
        </w:numPr>
        <w:spacing w:before="35" w:after="35"/>
      </w:pPr>
      <w:r>
        <w:rPr>
          <w:b/>
          <w:bCs/>
          <w:color w:val="1D6FA4"/>
          <w:sz w:val="19"/>
          <w:szCs w:val="19"/>
        </w:rPr>
        <w:t xml:space="preserve">Oil Quality Score: </w:t>
      </w:r>
      <w:r>
        <w:rPr>
          <w:sz w:val="19"/>
          <w:szCs w:val="19"/>
        </w:rPr>
        <w:t>Failed transformers show significantly lower oil quality (mean 44.0 vs 54.6). Degraded insulating oil is a well-known precursor to transformer failure.</w:t>
      </w:r>
    </w:p>
    <w:p w14:paraId="27D36D64"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67" w14:textId="77777777">
        <w:tblPrEx>
          <w:tblCellMar>
            <w:top w:w="0" w:type="dxa"/>
            <w:bottom w:w="0" w:type="dxa"/>
          </w:tblCellMar>
        </w:tblPrEx>
        <w:tc>
          <w:tcPr>
            <w:tcW w:w="9360" w:type="dxa"/>
            <w:tcBorders>
              <w:top w:val="single" w:sz="10" w:space="0" w:color="1E8449"/>
              <w:left w:val="single" w:sz="12" w:space="0" w:color="1E8449"/>
              <w:bottom w:val="single" w:sz="4" w:space="0" w:color="1E8449"/>
              <w:right w:val="single" w:sz="4" w:space="0" w:color="1E8449"/>
            </w:tcBorders>
            <w:shd w:val="clear" w:color="auto" w:fill="EEF6EE"/>
            <w:tcMar>
              <w:top w:w="100" w:type="dxa"/>
              <w:left w:w="160" w:type="dxa"/>
              <w:bottom w:w="100" w:type="dxa"/>
              <w:right w:w="160" w:type="dxa"/>
            </w:tcMar>
          </w:tcPr>
          <w:p w14:paraId="27D36D65" w14:textId="77777777" w:rsidR="00137889" w:rsidRDefault="00000000">
            <w:pPr>
              <w:spacing w:after="40"/>
            </w:pPr>
            <w:proofErr w:type="gramStart"/>
            <w:r>
              <w:rPr>
                <w:b/>
                <w:bCs/>
                <w:color w:val="1E8449"/>
              </w:rPr>
              <w:t>💡  Key</w:t>
            </w:r>
            <w:proofErr w:type="gramEnd"/>
            <w:r>
              <w:rPr>
                <w:b/>
                <w:bCs/>
                <w:color w:val="1E8449"/>
              </w:rPr>
              <w:t xml:space="preserve"> Insight</w:t>
            </w:r>
          </w:p>
          <w:p w14:paraId="27D36D66" w14:textId="77777777" w:rsidR="00137889" w:rsidRDefault="00000000">
            <w:pPr>
              <w:jc w:val="both"/>
            </w:pPr>
            <w:r>
              <w:rPr>
                <w:color w:val="222222"/>
                <w:sz w:val="19"/>
                <w:szCs w:val="19"/>
              </w:rPr>
              <w:t xml:space="preserve">Every one of the six features examined shows a meaningful distributional difference between failed and non-failed assets. </w:t>
            </w:r>
            <w:proofErr w:type="gramStart"/>
            <w:r>
              <w:rPr>
                <w:color w:val="222222"/>
                <w:sz w:val="19"/>
                <w:szCs w:val="19"/>
              </w:rPr>
              <w:t>Equipment</w:t>
            </w:r>
            <w:proofErr w:type="gramEnd"/>
            <w:r>
              <w:rPr>
                <w:color w:val="222222"/>
                <w:sz w:val="19"/>
                <w:szCs w:val="19"/>
              </w:rPr>
              <w:t xml:space="preserve"> health score and storm risk index show the most separation. This confirms that the dataset contains strong, learnable signal — a well-tuned ML model should be able to distinguish failure-prone assets with high accuracy.</w:t>
            </w:r>
          </w:p>
        </w:tc>
      </w:tr>
    </w:tbl>
    <w:p w14:paraId="27D36D68"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6B"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69" w14:textId="77777777" w:rsidR="00137889" w:rsidRDefault="00000000">
            <w:pPr>
              <w:jc w:val="center"/>
            </w:pPr>
            <w:r>
              <w:rPr>
                <w:b/>
                <w:bCs/>
                <w:color w:val="FFFFFF"/>
                <w:sz w:val="22"/>
                <w:szCs w:val="22"/>
              </w:rPr>
              <w:t>STEP 4</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6A" w14:textId="77777777" w:rsidR="00137889" w:rsidRDefault="00000000">
            <w:r>
              <w:rPr>
                <w:b/>
                <w:bCs/>
                <w:color w:val="1F3864"/>
                <w:sz w:val="22"/>
                <w:szCs w:val="22"/>
              </w:rPr>
              <w:t>Bivariate Analysis — Failure Rates by Category</w:t>
            </w:r>
          </w:p>
        </w:tc>
      </w:tr>
    </w:tbl>
    <w:p w14:paraId="27D36D6C" w14:textId="77777777" w:rsidR="00137889" w:rsidRDefault="00137889">
      <w:pPr>
        <w:spacing w:after="40"/>
      </w:pPr>
    </w:p>
    <w:p w14:paraId="27D36D6D" w14:textId="77777777" w:rsidR="00137889" w:rsidRDefault="00000000">
      <w:pPr>
        <w:spacing w:before="160" w:after="60"/>
      </w:pPr>
      <w:r>
        <w:rPr>
          <w:b/>
          <w:bCs/>
          <w:color w:val="1D6FA4"/>
          <w:sz w:val="23"/>
          <w:szCs w:val="23"/>
        </w:rPr>
        <w:t>What we did</w:t>
      </w:r>
    </w:p>
    <w:p w14:paraId="27D36D6E" w14:textId="77777777" w:rsidR="00137889" w:rsidRDefault="00000000">
      <w:pPr>
        <w:spacing w:before="50" w:after="50"/>
        <w:jc w:val="both"/>
      </w:pPr>
      <w:r>
        <w:rPr>
          <w:color w:val="222222"/>
          <w:sz w:val="19"/>
          <w:szCs w:val="19"/>
        </w:rPr>
        <w:t>Bivariate analysis examines the relationship between categorical grouping variables (region, asset type, manufacturer) and the target variable (failure rate). This helps operations teams understand where failure risk is concentrated geographically and by equipment class — directly informing maintenance scheduling priorities.</w:t>
      </w:r>
    </w:p>
    <w:p w14:paraId="27D36D6F" w14:textId="77777777" w:rsidR="00137889" w:rsidRDefault="00137889">
      <w:pPr>
        <w:spacing w:after="40"/>
      </w:pPr>
    </w:p>
    <w:p w14:paraId="27D36D70" w14:textId="77777777" w:rsidR="00137889" w:rsidRDefault="00000000">
      <w:pPr>
        <w:spacing w:before="100" w:after="100"/>
        <w:jc w:val="center"/>
      </w:pPr>
      <w:r>
        <w:rPr>
          <w:noProof/>
        </w:rPr>
        <w:lastRenderedPageBreak/>
        <w:drawing>
          <wp:inline distT="0" distB="0" distL="0" distR="0" wp14:anchorId="27D36E12" wp14:editId="27D36E13">
            <wp:extent cx="5524500" cy="1762125"/>
            <wp:effectExtent l="0" t="0" r="0" b="0"/>
            <wp:docPr id="1818152497" name="Picture 181815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762125"/>
                    </a:xfrm>
                    <a:prstGeom prst="rect">
                      <a:avLst/>
                    </a:prstGeom>
                  </pic:spPr>
                </pic:pic>
              </a:graphicData>
            </a:graphic>
          </wp:inline>
        </w:drawing>
      </w:r>
    </w:p>
    <w:p w14:paraId="27D36D71" w14:textId="77777777" w:rsidR="00137889" w:rsidRDefault="00137889">
      <w:pPr>
        <w:spacing w:after="40"/>
      </w:pPr>
    </w:p>
    <w:p w14:paraId="27D36D72" w14:textId="77777777" w:rsidR="00137889" w:rsidRDefault="00000000">
      <w:pPr>
        <w:spacing w:before="160" w:after="60"/>
      </w:pPr>
      <w:r>
        <w:rPr>
          <w:b/>
          <w:bCs/>
          <w:color w:val="1D6FA4"/>
          <w:sz w:val="23"/>
          <w:szCs w:val="23"/>
        </w:rPr>
        <w:t>What we interpret</w:t>
      </w:r>
    </w:p>
    <w:p w14:paraId="27D36D73" w14:textId="77777777" w:rsidR="00137889" w:rsidRDefault="00000000">
      <w:pPr>
        <w:pStyle w:val="ListParagraph"/>
        <w:numPr>
          <w:ilvl w:val="0"/>
          <w:numId w:val="2"/>
        </w:numPr>
        <w:spacing w:before="35" w:after="35"/>
      </w:pPr>
      <w:r>
        <w:rPr>
          <w:b/>
          <w:bCs/>
          <w:color w:val="1D6FA4"/>
          <w:sz w:val="19"/>
          <w:szCs w:val="19"/>
        </w:rPr>
        <w:t xml:space="preserve">Failure Rate by Region: </w:t>
      </w:r>
      <w:r>
        <w:rPr>
          <w:sz w:val="19"/>
          <w:szCs w:val="19"/>
        </w:rPr>
        <w:t>Central (43.4%) and East (43.2%) regions have the highest failure rates, while West (42.6%) is the lowest. The differences are modest (~0.8% spread), suggesting regional factors alone do not drive failure — the risk is spread across the network rather than concentrated in a single geography.</w:t>
      </w:r>
    </w:p>
    <w:p w14:paraId="27D36D74" w14:textId="77777777" w:rsidR="00137889" w:rsidRDefault="00000000">
      <w:pPr>
        <w:pStyle w:val="ListParagraph"/>
        <w:numPr>
          <w:ilvl w:val="0"/>
          <w:numId w:val="2"/>
        </w:numPr>
        <w:spacing w:before="35" w:after="35"/>
      </w:pPr>
      <w:r>
        <w:rPr>
          <w:b/>
          <w:bCs/>
          <w:color w:val="1D6FA4"/>
          <w:sz w:val="19"/>
          <w:szCs w:val="19"/>
        </w:rPr>
        <w:t xml:space="preserve">Failure Rate by Asset Type: </w:t>
      </w:r>
      <w:r>
        <w:rPr>
          <w:sz w:val="19"/>
          <w:szCs w:val="19"/>
        </w:rPr>
        <w:t xml:space="preserve">Transmission Lines (43.4%) and Transformers (43.1%) show the highest failure rates, while Circuit Breakers (42.7%) are lowest. </w:t>
      </w:r>
      <w:proofErr w:type="gramStart"/>
      <w:r>
        <w:rPr>
          <w:sz w:val="19"/>
          <w:szCs w:val="19"/>
        </w:rPr>
        <w:t>Again</w:t>
      </w:r>
      <w:proofErr w:type="gramEnd"/>
      <w:r>
        <w:rPr>
          <w:sz w:val="19"/>
          <w:szCs w:val="19"/>
        </w:rPr>
        <w:t xml:space="preserve"> differences are small — every asset </w:t>
      </w:r>
      <w:proofErr w:type="spellStart"/>
      <w:r>
        <w:rPr>
          <w:sz w:val="19"/>
          <w:szCs w:val="19"/>
        </w:rPr>
        <w:t>type faces</w:t>
      </w:r>
      <w:proofErr w:type="spellEnd"/>
      <w:r>
        <w:rPr>
          <w:sz w:val="19"/>
          <w:szCs w:val="19"/>
        </w:rPr>
        <w:t xml:space="preserve"> substantial failure risk and must be monitored. No single equipment class can be de-</w:t>
      </w:r>
      <w:proofErr w:type="spellStart"/>
      <w:r>
        <w:rPr>
          <w:sz w:val="19"/>
          <w:szCs w:val="19"/>
        </w:rPr>
        <w:t>prioritised</w:t>
      </w:r>
      <w:proofErr w:type="spellEnd"/>
      <w:r>
        <w:rPr>
          <w:sz w:val="19"/>
          <w:szCs w:val="19"/>
        </w:rPr>
        <w:t>.</w:t>
      </w:r>
    </w:p>
    <w:p w14:paraId="27D36D75" w14:textId="77777777" w:rsidR="00137889" w:rsidRDefault="00000000">
      <w:pPr>
        <w:pStyle w:val="ListParagraph"/>
        <w:numPr>
          <w:ilvl w:val="0"/>
          <w:numId w:val="2"/>
        </w:numPr>
        <w:spacing w:before="35" w:after="35"/>
      </w:pPr>
      <w:r>
        <w:rPr>
          <w:b/>
          <w:bCs/>
          <w:color w:val="1D6FA4"/>
          <w:sz w:val="19"/>
          <w:szCs w:val="19"/>
        </w:rPr>
        <w:t xml:space="preserve">Failure Rate by Manufacturer: </w:t>
      </w:r>
      <w:r>
        <w:rPr>
          <w:sz w:val="19"/>
          <w:szCs w:val="19"/>
        </w:rPr>
        <w:t>Failure rates are nearly identical across all five manufacturers (Hitachi, Siemens, ABB, Schneider, GE), ranging from approximately 42.6% to 43.4%. This tells us manufacturer is unlikely to be a useful predictive feature — failure is driven by operational, health, and environmental factors rather than brand.</w:t>
      </w:r>
    </w:p>
    <w:p w14:paraId="27D36D76"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79" w14:textId="77777777">
        <w:tblPrEx>
          <w:tblCellMar>
            <w:top w:w="0" w:type="dxa"/>
            <w:bottom w:w="0" w:type="dxa"/>
          </w:tblCellMar>
        </w:tblPrEx>
        <w:tc>
          <w:tcPr>
            <w:tcW w:w="9360" w:type="dxa"/>
            <w:tcBorders>
              <w:top w:val="single" w:sz="10" w:space="0" w:color="B7770D"/>
              <w:left w:val="single" w:sz="12" w:space="0" w:color="B7770D"/>
              <w:bottom w:val="single" w:sz="4" w:space="0" w:color="B7770D"/>
              <w:right w:val="single" w:sz="4" w:space="0" w:color="B7770D"/>
            </w:tcBorders>
            <w:shd w:val="clear" w:color="auto" w:fill="FFF8E1"/>
            <w:tcMar>
              <w:top w:w="100" w:type="dxa"/>
              <w:left w:w="160" w:type="dxa"/>
              <w:bottom w:w="100" w:type="dxa"/>
              <w:right w:w="160" w:type="dxa"/>
            </w:tcMar>
          </w:tcPr>
          <w:p w14:paraId="27D36D77" w14:textId="77777777" w:rsidR="00137889" w:rsidRDefault="00000000">
            <w:pPr>
              <w:spacing w:after="40"/>
            </w:pPr>
            <w:proofErr w:type="gramStart"/>
            <w:r>
              <w:rPr>
                <w:b/>
                <w:bCs/>
                <w:color w:val="B7770D"/>
              </w:rPr>
              <w:t>💡  Key</w:t>
            </w:r>
            <w:proofErr w:type="gramEnd"/>
            <w:r>
              <w:rPr>
                <w:b/>
                <w:bCs/>
                <w:color w:val="B7770D"/>
              </w:rPr>
              <w:t xml:space="preserve"> Insight</w:t>
            </w:r>
          </w:p>
          <w:p w14:paraId="27D36D78" w14:textId="77777777" w:rsidR="00137889" w:rsidRDefault="00000000">
            <w:pPr>
              <w:jc w:val="both"/>
            </w:pPr>
            <w:r>
              <w:rPr>
                <w:color w:val="222222"/>
                <w:sz w:val="19"/>
                <w:szCs w:val="19"/>
              </w:rPr>
              <w:t xml:space="preserve">The remarkably uniform failure rates across regions, asset types, and manufacturers </w:t>
            </w:r>
            <w:proofErr w:type="gramStart"/>
            <w:r>
              <w:rPr>
                <w:color w:val="222222"/>
                <w:sz w:val="19"/>
                <w:szCs w:val="19"/>
              </w:rPr>
              <w:t>is</w:t>
            </w:r>
            <w:proofErr w:type="gramEnd"/>
            <w:r>
              <w:rPr>
                <w:color w:val="222222"/>
                <w:sz w:val="19"/>
                <w:szCs w:val="19"/>
              </w:rPr>
              <w:t xml:space="preserve"> a critical finding. It tells us that the failure problem is systemic — not isolated to specific equipment brands or geographic zones. This validates the need for a granular, asset-level predictive model rather than simple categorical rules. It also means the model must rely on continuous health, operational, and environmental features to differentiate failure risk.</w:t>
            </w:r>
          </w:p>
        </w:tc>
      </w:tr>
    </w:tbl>
    <w:p w14:paraId="27D36D7A"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7D"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7B" w14:textId="77777777" w:rsidR="00137889" w:rsidRDefault="00000000">
            <w:pPr>
              <w:jc w:val="center"/>
            </w:pPr>
            <w:r>
              <w:rPr>
                <w:b/>
                <w:bCs/>
                <w:color w:val="FFFFFF"/>
                <w:sz w:val="22"/>
                <w:szCs w:val="22"/>
              </w:rPr>
              <w:t>STEP 5</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7C" w14:textId="77777777" w:rsidR="00137889" w:rsidRDefault="00000000">
            <w:r>
              <w:rPr>
                <w:b/>
                <w:bCs/>
                <w:color w:val="1F3864"/>
                <w:sz w:val="22"/>
                <w:szCs w:val="22"/>
              </w:rPr>
              <w:t>Correlation Heatmap — Full Feature Matrix</w:t>
            </w:r>
          </w:p>
        </w:tc>
      </w:tr>
    </w:tbl>
    <w:p w14:paraId="27D36D7E" w14:textId="77777777" w:rsidR="00137889" w:rsidRDefault="00137889">
      <w:pPr>
        <w:spacing w:after="40"/>
      </w:pPr>
    </w:p>
    <w:p w14:paraId="27D36D7F" w14:textId="77777777" w:rsidR="00137889" w:rsidRDefault="00000000">
      <w:pPr>
        <w:spacing w:before="160" w:after="60"/>
      </w:pPr>
      <w:r>
        <w:rPr>
          <w:b/>
          <w:bCs/>
          <w:color w:val="1D6FA4"/>
          <w:sz w:val="23"/>
          <w:szCs w:val="23"/>
        </w:rPr>
        <w:t>What we did</w:t>
      </w:r>
    </w:p>
    <w:p w14:paraId="27D36D80" w14:textId="77777777" w:rsidR="00137889" w:rsidRDefault="00000000">
      <w:pPr>
        <w:spacing w:before="50" w:after="50"/>
        <w:jc w:val="both"/>
      </w:pPr>
      <w:r>
        <w:rPr>
          <w:color w:val="222222"/>
          <w:sz w:val="19"/>
          <w:szCs w:val="19"/>
        </w:rPr>
        <w:t xml:space="preserve">A correlation heatmap </w:t>
      </w:r>
      <w:proofErr w:type="spellStart"/>
      <w:r>
        <w:rPr>
          <w:color w:val="222222"/>
          <w:sz w:val="19"/>
          <w:szCs w:val="19"/>
        </w:rPr>
        <w:t>visualises</w:t>
      </w:r>
      <w:proofErr w:type="spellEnd"/>
      <w:r>
        <w:rPr>
          <w:color w:val="222222"/>
          <w:sz w:val="19"/>
          <w:szCs w:val="19"/>
        </w:rPr>
        <w:t xml:space="preserve"> the Pearson correlation coefficient between every pair of numeric features in the dataset. This serves two purposes: (1) identifying features that are strongly correlated with the target variable (potential predictors), and (2) identifying features that are strongly correlated with each other (multicollinearity), which could inflate model coefficients or reduce feature interpretability.</w:t>
      </w:r>
    </w:p>
    <w:p w14:paraId="27D36D81" w14:textId="77777777" w:rsidR="00137889" w:rsidRDefault="00137889">
      <w:pPr>
        <w:spacing w:after="40"/>
      </w:pPr>
    </w:p>
    <w:p w14:paraId="27D36D82" w14:textId="77777777" w:rsidR="00137889" w:rsidRDefault="00000000">
      <w:pPr>
        <w:spacing w:before="100" w:after="100"/>
        <w:jc w:val="center"/>
      </w:pPr>
      <w:r>
        <w:rPr>
          <w:noProof/>
        </w:rPr>
        <w:lastRenderedPageBreak/>
        <w:drawing>
          <wp:inline distT="0" distB="0" distL="0" distR="0" wp14:anchorId="27D36E14" wp14:editId="27D36E15">
            <wp:extent cx="5524500" cy="4524375"/>
            <wp:effectExtent l="0" t="0" r="0" b="0"/>
            <wp:docPr id="1357641220" name="Picture 135764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524375"/>
                    </a:xfrm>
                    <a:prstGeom prst="rect">
                      <a:avLst/>
                    </a:prstGeom>
                  </pic:spPr>
                </pic:pic>
              </a:graphicData>
            </a:graphic>
          </wp:inline>
        </w:drawing>
      </w:r>
    </w:p>
    <w:p w14:paraId="27D36D83" w14:textId="77777777" w:rsidR="00137889" w:rsidRDefault="00137889">
      <w:pPr>
        <w:spacing w:after="40"/>
      </w:pPr>
    </w:p>
    <w:p w14:paraId="27D36D84" w14:textId="77777777" w:rsidR="00137889" w:rsidRDefault="00000000">
      <w:pPr>
        <w:spacing w:before="160" w:after="60"/>
      </w:pPr>
      <w:r>
        <w:rPr>
          <w:b/>
          <w:bCs/>
          <w:color w:val="1D6FA4"/>
          <w:sz w:val="23"/>
          <w:szCs w:val="23"/>
        </w:rPr>
        <w:t>What we interpret</w:t>
      </w:r>
    </w:p>
    <w:p w14:paraId="27D36D85" w14:textId="77777777" w:rsidR="00137889" w:rsidRDefault="00000000">
      <w:pPr>
        <w:pStyle w:val="ListParagraph"/>
        <w:numPr>
          <w:ilvl w:val="0"/>
          <w:numId w:val="2"/>
        </w:numPr>
        <w:spacing w:before="35" w:after="35"/>
      </w:pPr>
      <w:r>
        <w:rPr>
          <w:b/>
          <w:bCs/>
          <w:color w:val="1D6FA4"/>
          <w:sz w:val="19"/>
          <w:szCs w:val="19"/>
        </w:rPr>
        <w:t xml:space="preserve">Top positive correlators with target: </w:t>
      </w:r>
      <w:proofErr w:type="spellStart"/>
      <w:r>
        <w:rPr>
          <w:sz w:val="19"/>
          <w:szCs w:val="19"/>
        </w:rPr>
        <w:t>storm_risk_index</w:t>
      </w:r>
      <w:proofErr w:type="spellEnd"/>
      <w:r>
        <w:rPr>
          <w:sz w:val="19"/>
          <w:szCs w:val="19"/>
        </w:rPr>
        <w:t xml:space="preserve"> (+0.26), </w:t>
      </w:r>
      <w:proofErr w:type="spellStart"/>
      <w:r>
        <w:rPr>
          <w:sz w:val="19"/>
          <w:szCs w:val="19"/>
        </w:rPr>
        <w:t>maintenance_overdue_days</w:t>
      </w:r>
      <w:proofErr w:type="spellEnd"/>
      <w:r>
        <w:rPr>
          <w:sz w:val="19"/>
          <w:szCs w:val="19"/>
        </w:rPr>
        <w:t xml:space="preserve"> (+0.20), </w:t>
      </w:r>
      <w:proofErr w:type="spellStart"/>
      <w:r>
        <w:rPr>
          <w:sz w:val="19"/>
          <w:szCs w:val="19"/>
        </w:rPr>
        <w:t>voltage_fluctuation_pct</w:t>
      </w:r>
      <w:proofErr w:type="spellEnd"/>
      <w:r>
        <w:rPr>
          <w:sz w:val="19"/>
          <w:szCs w:val="19"/>
        </w:rPr>
        <w:t xml:space="preserve"> (+</w:t>
      </w:r>
      <w:proofErr w:type="gramStart"/>
      <w:r>
        <w:rPr>
          <w:sz w:val="19"/>
          <w:szCs w:val="19"/>
        </w:rPr>
        <w:t>0.19) —</w:t>
      </w:r>
      <w:proofErr w:type="gramEnd"/>
      <w:r>
        <w:rPr>
          <w:sz w:val="19"/>
          <w:szCs w:val="19"/>
        </w:rPr>
        <w:t xml:space="preserve"> these are the strongest predictors of failure. Higher values of each are associated with higher failure probability.</w:t>
      </w:r>
    </w:p>
    <w:p w14:paraId="27D36D86" w14:textId="77777777" w:rsidR="00137889" w:rsidRDefault="00000000">
      <w:pPr>
        <w:pStyle w:val="ListParagraph"/>
        <w:numPr>
          <w:ilvl w:val="0"/>
          <w:numId w:val="2"/>
        </w:numPr>
        <w:spacing w:before="35" w:after="35"/>
      </w:pPr>
      <w:r>
        <w:rPr>
          <w:b/>
          <w:bCs/>
          <w:color w:val="1D6FA4"/>
          <w:sz w:val="19"/>
          <w:szCs w:val="19"/>
        </w:rPr>
        <w:t xml:space="preserve">Top negative correlators with target: </w:t>
      </w:r>
      <w:proofErr w:type="spellStart"/>
      <w:r>
        <w:rPr>
          <w:sz w:val="19"/>
          <w:szCs w:val="19"/>
        </w:rPr>
        <w:t>equipment_health_score</w:t>
      </w:r>
      <w:proofErr w:type="spellEnd"/>
      <w:r>
        <w:rPr>
          <w:sz w:val="19"/>
          <w:szCs w:val="19"/>
        </w:rPr>
        <w:t xml:space="preserve"> (-0.29), </w:t>
      </w:r>
      <w:proofErr w:type="spellStart"/>
      <w:r>
        <w:rPr>
          <w:sz w:val="19"/>
          <w:szCs w:val="19"/>
        </w:rPr>
        <w:t>inspection_score</w:t>
      </w:r>
      <w:proofErr w:type="spellEnd"/>
      <w:r>
        <w:rPr>
          <w:sz w:val="19"/>
          <w:szCs w:val="19"/>
        </w:rPr>
        <w:t xml:space="preserve"> (-0.19), </w:t>
      </w:r>
      <w:proofErr w:type="spellStart"/>
      <w:r>
        <w:rPr>
          <w:sz w:val="19"/>
          <w:szCs w:val="19"/>
        </w:rPr>
        <w:t>oil_quality_score</w:t>
      </w:r>
      <w:proofErr w:type="spellEnd"/>
      <w:r>
        <w:rPr>
          <w:sz w:val="19"/>
          <w:szCs w:val="19"/>
        </w:rPr>
        <w:t xml:space="preserve"> (-</w:t>
      </w:r>
      <w:proofErr w:type="gramStart"/>
      <w:r>
        <w:rPr>
          <w:sz w:val="19"/>
          <w:szCs w:val="19"/>
        </w:rPr>
        <w:t>0.18) —</w:t>
      </w:r>
      <w:proofErr w:type="gramEnd"/>
      <w:r>
        <w:rPr>
          <w:sz w:val="19"/>
          <w:szCs w:val="19"/>
        </w:rPr>
        <w:t xml:space="preserve"> lower values of these health indicators are strongly associated with failure. They are "protective" features.</w:t>
      </w:r>
    </w:p>
    <w:p w14:paraId="27D36D87" w14:textId="77777777" w:rsidR="00137889" w:rsidRDefault="00000000">
      <w:pPr>
        <w:pStyle w:val="ListParagraph"/>
        <w:numPr>
          <w:ilvl w:val="0"/>
          <w:numId w:val="2"/>
        </w:numPr>
        <w:spacing w:before="35" w:after="35"/>
      </w:pPr>
      <w:r>
        <w:rPr>
          <w:b/>
          <w:bCs/>
          <w:color w:val="1D6FA4"/>
          <w:sz w:val="19"/>
          <w:szCs w:val="19"/>
        </w:rPr>
        <w:t xml:space="preserve">Multicollinearity check: </w:t>
      </w:r>
      <w:proofErr w:type="spellStart"/>
      <w:r>
        <w:rPr>
          <w:sz w:val="19"/>
          <w:szCs w:val="19"/>
        </w:rPr>
        <w:t>equipment_health_score</w:t>
      </w:r>
      <w:proofErr w:type="spellEnd"/>
      <w:r>
        <w:rPr>
          <w:sz w:val="19"/>
          <w:szCs w:val="19"/>
        </w:rPr>
        <w:t xml:space="preserve"> and </w:t>
      </w:r>
      <w:proofErr w:type="spellStart"/>
      <w:r>
        <w:rPr>
          <w:sz w:val="19"/>
          <w:szCs w:val="19"/>
        </w:rPr>
        <w:t>oil_quality_score</w:t>
      </w:r>
      <w:proofErr w:type="spellEnd"/>
      <w:r>
        <w:rPr>
          <w:sz w:val="19"/>
          <w:szCs w:val="19"/>
        </w:rPr>
        <w:t xml:space="preserve"> show moderate correlation, as do </w:t>
      </w:r>
      <w:proofErr w:type="spellStart"/>
      <w:r>
        <w:rPr>
          <w:sz w:val="19"/>
          <w:szCs w:val="19"/>
        </w:rPr>
        <w:t>transformer_temperature_c</w:t>
      </w:r>
      <w:proofErr w:type="spellEnd"/>
      <w:r>
        <w:rPr>
          <w:sz w:val="19"/>
          <w:szCs w:val="19"/>
        </w:rPr>
        <w:t xml:space="preserve"> and </w:t>
      </w:r>
      <w:proofErr w:type="spellStart"/>
      <w:r>
        <w:rPr>
          <w:sz w:val="19"/>
          <w:szCs w:val="19"/>
        </w:rPr>
        <w:t>load_utilization_pct</w:t>
      </w:r>
      <w:proofErr w:type="spellEnd"/>
      <w:r>
        <w:rPr>
          <w:sz w:val="19"/>
          <w:szCs w:val="19"/>
        </w:rPr>
        <w:t>. These pairs will be reviewed during feature engineering using Variance Inflation Factor (VIF) analysis to decide whether both should be retained.</w:t>
      </w:r>
    </w:p>
    <w:p w14:paraId="27D36D88" w14:textId="77777777" w:rsidR="00137889" w:rsidRDefault="00000000">
      <w:pPr>
        <w:pStyle w:val="ListParagraph"/>
        <w:numPr>
          <w:ilvl w:val="0"/>
          <w:numId w:val="2"/>
        </w:numPr>
        <w:spacing w:before="35" w:after="35"/>
      </w:pPr>
      <w:r>
        <w:rPr>
          <w:b/>
          <w:bCs/>
          <w:color w:val="1D6FA4"/>
          <w:sz w:val="19"/>
          <w:szCs w:val="19"/>
        </w:rPr>
        <w:t xml:space="preserve">Low-signal features: </w:t>
      </w:r>
      <w:proofErr w:type="spellStart"/>
      <w:r>
        <w:rPr>
          <w:sz w:val="19"/>
          <w:szCs w:val="19"/>
        </w:rPr>
        <w:t>asset_age_years</w:t>
      </w:r>
      <w:proofErr w:type="spellEnd"/>
      <w:r>
        <w:rPr>
          <w:sz w:val="19"/>
          <w:szCs w:val="19"/>
        </w:rPr>
        <w:t xml:space="preserve">, </w:t>
      </w:r>
      <w:proofErr w:type="spellStart"/>
      <w:r>
        <w:rPr>
          <w:sz w:val="19"/>
          <w:szCs w:val="19"/>
        </w:rPr>
        <w:t>humidity_pct</w:t>
      </w:r>
      <w:proofErr w:type="spellEnd"/>
      <w:r>
        <w:rPr>
          <w:sz w:val="19"/>
          <w:szCs w:val="19"/>
        </w:rPr>
        <w:t xml:space="preserve">, </w:t>
      </w:r>
      <w:proofErr w:type="spellStart"/>
      <w:r>
        <w:rPr>
          <w:sz w:val="19"/>
          <w:szCs w:val="19"/>
        </w:rPr>
        <w:t>rainfall_mm</w:t>
      </w:r>
      <w:proofErr w:type="spellEnd"/>
      <w:r>
        <w:rPr>
          <w:sz w:val="19"/>
          <w:szCs w:val="19"/>
        </w:rPr>
        <w:t xml:space="preserve">, customer_complaints_last_12m, and </w:t>
      </w:r>
      <w:proofErr w:type="spellStart"/>
      <w:r>
        <w:rPr>
          <w:sz w:val="19"/>
          <w:szCs w:val="19"/>
        </w:rPr>
        <w:t>avg_outage_duration_minutes</w:t>
      </w:r>
      <w:proofErr w:type="spellEnd"/>
      <w:r>
        <w:rPr>
          <w:sz w:val="19"/>
          <w:szCs w:val="19"/>
        </w:rPr>
        <w:t xml:space="preserve"> show near-zero correlation with the target — they may contribute minimal predictive value individually but could contribute through interaction features.</w:t>
      </w:r>
    </w:p>
    <w:p w14:paraId="27D36D89"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8C" w14:textId="77777777">
        <w:tblPrEx>
          <w:tblCellMar>
            <w:top w:w="0" w:type="dxa"/>
            <w:bottom w:w="0" w:type="dxa"/>
          </w:tblCellMar>
        </w:tblPrEx>
        <w:tc>
          <w:tcPr>
            <w:tcW w:w="9360" w:type="dxa"/>
            <w:tcBorders>
              <w:top w:val="single" w:sz="10" w:space="0" w:color="1D6FA4"/>
              <w:left w:val="single" w:sz="12" w:space="0" w:color="1D6FA4"/>
              <w:bottom w:val="single" w:sz="4" w:space="0" w:color="1D6FA4"/>
              <w:right w:val="single" w:sz="4" w:space="0" w:color="1D6FA4"/>
            </w:tcBorders>
            <w:shd w:val="clear" w:color="auto" w:fill="E6F4FB"/>
            <w:tcMar>
              <w:top w:w="100" w:type="dxa"/>
              <w:left w:w="160" w:type="dxa"/>
              <w:bottom w:w="100" w:type="dxa"/>
              <w:right w:w="160" w:type="dxa"/>
            </w:tcMar>
          </w:tcPr>
          <w:p w14:paraId="27D36D8A" w14:textId="77777777" w:rsidR="00137889" w:rsidRDefault="00000000">
            <w:pPr>
              <w:spacing w:after="40"/>
            </w:pPr>
            <w:proofErr w:type="gramStart"/>
            <w:r>
              <w:rPr>
                <w:b/>
                <w:bCs/>
                <w:color w:val="1D6FA4"/>
              </w:rPr>
              <w:t>💡  Key</w:t>
            </w:r>
            <w:proofErr w:type="gramEnd"/>
            <w:r>
              <w:rPr>
                <w:b/>
                <w:bCs/>
                <w:color w:val="1D6FA4"/>
              </w:rPr>
              <w:t xml:space="preserve"> Insight</w:t>
            </w:r>
          </w:p>
          <w:p w14:paraId="27D36D8B" w14:textId="77777777" w:rsidR="00137889" w:rsidRDefault="00000000">
            <w:pPr>
              <w:jc w:val="both"/>
            </w:pPr>
            <w:r>
              <w:rPr>
                <w:color w:val="222222"/>
                <w:sz w:val="19"/>
                <w:szCs w:val="19"/>
              </w:rPr>
              <w:t xml:space="preserve">The correlation analysis confirms a clear pattern: failure is predicted by a combination of degraded health indicators (low equipment health, oil quality, inspection scores) AND elevated operational and environmental stressors (high storm risk, voltage fluctuation, maintenance backlog). No single feature dominates — the model needs to </w:t>
            </w:r>
            <w:proofErr w:type="spellStart"/>
            <w:r>
              <w:rPr>
                <w:color w:val="222222"/>
                <w:sz w:val="19"/>
                <w:szCs w:val="19"/>
              </w:rPr>
              <w:t>synthesise</w:t>
            </w:r>
            <w:proofErr w:type="spellEnd"/>
            <w:r>
              <w:rPr>
                <w:color w:val="222222"/>
                <w:sz w:val="19"/>
                <w:szCs w:val="19"/>
              </w:rPr>
              <w:t xml:space="preserve"> multiple signals simultaneously, which is exactly where ensemble methods like </w:t>
            </w:r>
            <w:proofErr w:type="spellStart"/>
            <w:r>
              <w:rPr>
                <w:color w:val="222222"/>
                <w:sz w:val="19"/>
                <w:szCs w:val="19"/>
              </w:rPr>
              <w:t>XGBoost</w:t>
            </w:r>
            <w:proofErr w:type="spellEnd"/>
            <w:r>
              <w:rPr>
                <w:color w:val="222222"/>
                <w:sz w:val="19"/>
                <w:szCs w:val="19"/>
              </w:rPr>
              <w:t xml:space="preserve"> and </w:t>
            </w:r>
            <w:proofErr w:type="spellStart"/>
            <w:r>
              <w:rPr>
                <w:color w:val="222222"/>
                <w:sz w:val="19"/>
                <w:szCs w:val="19"/>
              </w:rPr>
              <w:t>LightGBM</w:t>
            </w:r>
            <w:proofErr w:type="spellEnd"/>
            <w:r>
              <w:rPr>
                <w:color w:val="222222"/>
                <w:sz w:val="19"/>
                <w:szCs w:val="19"/>
              </w:rPr>
              <w:t xml:space="preserve"> excel.</w:t>
            </w:r>
          </w:p>
        </w:tc>
      </w:tr>
    </w:tbl>
    <w:p w14:paraId="27D36D8D"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90"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8E" w14:textId="77777777" w:rsidR="00137889" w:rsidRDefault="00000000">
            <w:pPr>
              <w:jc w:val="center"/>
            </w:pPr>
            <w:r>
              <w:rPr>
                <w:b/>
                <w:bCs/>
                <w:color w:val="FFFFFF"/>
                <w:sz w:val="22"/>
                <w:szCs w:val="22"/>
              </w:rPr>
              <w:t>STEP 6</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8F" w14:textId="77777777" w:rsidR="00137889" w:rsidRDefault="00000000">
            <w:r>
              <w:rPr>
                <w:b/>
                <w:bCs/>
                <w:color w:val="1F3864"/>
                <w:sz w:val="22"/>
                <w:szCs w:val="22"/>
              </w:rPr>
              <w:t>Feature Importance &amp; Box Plot Analysis</w:t>
            </w:r>
          </w:p>
        </w:tc>
      </w:tr>
    </w:tbl>
    <w:p w14:paraId="27D36D91" w14:textId="77777777" w:rsidR="00137889" w:rsidRDefault="00137889">
      <w:pPr>
        <w:spacing w:after="40"/>
      </w:pPr>
    </w:p>
    <w:p w14:paraId="27D36D92" w14:textId="77777777" w:rsidR="00137889" w:rsidRDefault="00000000">
      <w:pPr>
        <w:spacing w:before="160" w:after="60"/>
      </w:pPr>
      <w:r>
        <w:rPr>
          <w:b/>
          <w:bCs/>
          <w:color w:val="1D6FA4"/>
          <w:sz w:val="23"/>
          <w:szCs w:val="23"/>
        </w:rPr>
        <w:t>What we did</w:t>
      </w:r>
    </w:p>
    <w:p w14:paraId="27D36D93" w14:textId="77777777" w:rsidR="00137889" w:rsidRDefault="00000000">
      <w:pPr>
        <w:spacing w:before="50" w:after="50"/>
        <w:jc w:val="both"/>
      </w:pPr>
      <w:r>
        <w:rPr>
          <w:color w:val="222222"/>
          <w:sz w:val="19"/>
          <w:szCs w:val="19"/>
        </w:rPr>
        <w:lastRenderedPageBreak/>
        <w:t>This step combines two complementary views: (1) a horizontal bar chart ranking all features by their Pearson correlation with the target, and (2) box plots of the top 5 failure predictors split by failure status. Box plots reveal not just the mean difference but also the spread, variability, and overlap between failed and non-failed populations — giving a richer view than mean comparisons alone.</w:t>
      </w:r>
    </w:p>
    <w:p w14:paraId="27D36D94" w14:textId="77777777" w:rsidR="00137889" w:rsidRDefault="00137889">
      <w:pPr>
        <w:spacing w:after="40"/>
      </w:pPr>
    </w:p>
    <w:p w14:paraId="27D36D95" w14:textId="77777777" w:rsidR="00137889" w:rsidRDefault="00000000">
      <w:pPr>
        <w:spacing w:before="100" w:after="100"/>
        <w:jc w:val="center"/>
      </w:pPr>
      <w:r>
        <w:rPr>
          <w:noProof/>
        </w:rPr>
        <w:drawing>
          <wp:inline distT="0" distB="0" distL="0" distR="0" wp14:anchorId="27D36E16" wp14:editId="6FF21930">
            <wp:extent cx="5524500" cy="2101850"/>
            <wp:effectExtent l="0" t="0" r="0" b="0"/>
            <wp:docPr id="1451119227" name="Picture 145111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101850"/>
                    </a:xfrm>
                    <a:prstGeom prst="rect">
                      <a:avLst/>
                    </a:prstGeom>
                  </pic:spPr>
                </pic:pic>
              </a:graphicData>
            </a:graphic>
          </wp:inline>
        </w:drawing>
      </w:r>
    </w:p>
    <w:p w14:paraId="27D36D96" w14:textId="77777777" w:rsidR="00137889" w:rsidRDefault="00137889">
      <w:pPr>
        <w:spacing w:after="40"/>
      </w:pPr>
    </w:p>
    <w:p w14:paraId="27D36D97" w14:textId="77777777" w:rsidR="00137889" w:rsidRDefault="00000000">
      <w:pPr>
        <w:spacing w:before="160" w:after="60"/>
      </w:pPr>
      <w:r>
        <w:rPr>
          <w:b/>
          <w:bCs/>
          <w:color w:val="1D6FA4"/>
          <w:sz w:val="23"/>
          <w:szCs w:val="23"/>
        </w:rPr>
        <w:t>What we interpret</w:t>
      </w:r>
    </w:p>
    <w:p w14:paraId="27D36D98" w14:textId="77777777" w:rsidR="00137889" w:rsidRDefault="00000000">
      <w:pPr>
        <w:pStyle w:val="ListParagraph"/>
        <w:numPr>
          <w:ilvl w:val="0"/>
          <w:numId w:val="2"/>
        </w:numPr>
        <w:spacing w:before="35" w:after="35"/>
      </w:pPr>
      <w:r>
        <w:rPr>
          <w:b/>
          <w:bCs/>
          <w:color w:val="1D6FA4"/>
          <w:sz w:val="19"/>
          <w:szCs w:val="19"/>
        </w:rPr>
        <w:t xml:space="preserve">Storm Risk Index: </w:t>
      </w:r>
      <w:r>
        <w:rPr>
          <w:sz w:val="19"/>
          <w:szCs w:val="19"/>
        </w:rPr>
        <w:t>Box plot shows clearly higher median storm risk for failed assets, with the failure distribution shifted upward. The overlap zone exists but failed assets cluster at the upper end. This feature will be a top-ranked predictor in the final model.</w:t>
      </w:r>
    </w:p>
    <w:p w14:paraId="27D36D99" w14:textId="77777777" w:rsidR="00137889" w:rsidRDefault="00000000">
      <w:pPr>
        <w:pStyle w:val="ListParagraph"/>
        <w:numPr>
          <w:ilvl w:val="0"/>
          <w:numId w:val="2"/>
        </w:numPr>
        <w:spacing w:before="35" w:after="35"/>
      </w:pPr>
      <w:r>
        <w:rPr>
          <w:b/>
          <w:bCs/>
          <w:color w:val="1D6FA4"/>
          <w:sz w:val="19"/>
          <w:szCs w:val="19"/>
        </w:rPr>
        <w:t xml:space="preserve">Maintenance Overdue Days: </w:t>
      </w:r>
      <w:r>
        <w:rPr>
          <w:sz w:val="19"/>
          <w:szCs w:val="19"/>
        </w:rPr>
        <w:t>Failed assets show both higher median and higher variance (wider box). Some healthy assets also have high overdue days, but in combination with other risk factors, this feature becomes highly predictive.</w:t>
      </w:r>
    </w:p>
    <w:p w14:paraId="27D36D9A" w14:textId="77777777" w:rsidR="00137889" w:rsidRDefault="00000000">
      <w:pPr>
        <w:pStyle w:val="ListParagraph"/>
        <w:numPr>
          <w:ilvl w:val="0"/>
          <w:numId w:val="2"/>
        </w:numPr>
        <w:spacing w:before="35" w:after="35"/>
      </w:pPr>
      <w:r>
        <w:rPr>
          <w:b/>
          <w:bCs/>
          <w:color w:val="1D6FA4"/>
          <w:sz w:val="19"/>
          <w:szCs w:val="19"/>
        </w:rPr>
        <w:t xml:space="preserve">Voltage Fluctuation (%): </w:t>
      </w:r>
      <w:r>
        <w:rPr>
          <w:sz w:val="19"/>
          <w:szCs w:val="19"/>
        </w:rPr>
        <w:t>Both the median and the upper quartile are notably higher for failed assets. High voltage instability is both a cause of failure and an early symptom of grid stress.</w:t>
      </w:r>
    </w:p>
    <w:p w14:paraId="27D36D9B" w14:textId="77777777" w:rsidR="00137889" w:rsidRDefault="00000000">
      <w:pPr>
        <w:pStyle w:val="ListParagraph"/>
        <w:numPr>
          <w:ilvl w:val="0"/>
          <w:numId w:val="2"/>
        </w:numPr>
        <w:spacing w:before="35" w:after="35"/>
      </w:pPr>
      <w:r>
        <w:rPr>
          <w:b/>
          <w:bCs/>
          <w:color w:val="1D6FA4"/>
          <w:sz w:val="19"/>
          <w:szCs w:val="19"/>
        </w:rPr>
        <w:t xml:space="preserve">Load Utilization (%): </w:t>
      </w:r>
      <w:r>
        <w:rPr>
          <w:sz w:val="19"/>
          <w:szCs w:val="19"/>
        </w:rPr>
        <w:t>The distributions overlap significantly, but failed assets have a consistently higher median utilization. This suggests load alone is not enough to predict failure — it acts as a risk multiplier when combined with aging equipment.</w:t>
      </w:r>
    </w:p>
    <w:p w14:paraId="27D36D9C" w14:textId="77777777" w:rsidR="00137889" w:rsidRDefault="00000000">
      <w:pPr>
        <w:pStyle w:val="ListParagraph"/>
        <w:numPr>
          <w:ilvl w:val="0"/>
          <w:numId w:val="2"/>
        </w:numPr>
        <w:spacing w:before="35" w:after="35"/>
      </w:pPr>
      <w:r>
        <w:rPr>
          <w:b/>
          <w:bCs/>
          <w:color w:val="1D6FA4"/>
          <w:sz w:val="19"/>
          <w:szCs w:val="19"/>
        </w:rPr>
        <w:t xml:space="preserve">Transformer Temperature: </w:t>
      </w:r>
      <w:r>
        <w:rPr>
          <w:sz w:val="19"/>
          <w:szCs w:val="19"/>
        </w:rPr>
        <w:t>The separation between groups is smaller than other features, but failed assets consistently run hotter. Elevated operating temperature accelerates insulation breakdown and oil degradation.</w:t>
      </w:r>
    </w:p>
    <w:p w14:paraId="27D36D9D"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A0" w14:textId="77777777">
        <w:tblPrEx>
          <w:tblCellMar>
            <w:top w:w="0" w:type="dxa"/>
            <w:bottom w:w="0" w:type="dxa"/>
          </w:tblCellMar>
        </w:tblPrEx>
        <w:tc>
          <w:tcPr>
            <w:tcW w:w="9360" w:type="dxa"/>
            <w:tcBorders>
              <w:top w:val="single" w:sz="10" w:space="0" w:color="1E8449"/>
              <w:left w:val="single" w:sz="12" w:space="0" w:color="1E8449"/>
              <w:bottom w:val="single" w:sz="4" w:space="0" w:color="1E8449"/>
              <w:right w:val="single" w:sz="4" w:space="0" w:color="1E8449"/>
            </w:tcBorders>
            <w:shd w:val="clear" w:color="auto" w:fill="EEF6EE"/>
            <w:tcMar>
              <w:top w:w="100" w:type="dxa"/>
              <w:left w:w="160" w:type="dxa"/>
              <w:bottom w:w="100" w:type="dxa"/>
              <w:right w:w="160" w:type="dxa"/>
            </w:tcMar>
          </w:tcPr>
          <w:p w14:paraId="27D36D9E" w14:textId="77777777" w:rsidR="00137889" w:rsidRDefault="00000000">
            <w:pPr>
              <w:spacing w:after="40"/>
            </w:pPr>
            <w:proofErr w:type="gramStart"/>
            <w:r>
              <w:rPr>
                <w:b/>
                <w:bCs/>
                <w:color w:val="1E8449"/>
              </w:rPr>
              <w:t>💡  Key</w:t>
            </w:r>
            <w:proofErr w:type="gramEnd"/>
            <w:r>
              <w:rPr>
                <w:b/>
                <w:bCs/>
                <w:color w:val="1E8449"/>
              </w:rPr>
              <w:t xml:space="preserve"> Insight</w:t>
            </w:r>
          </w:p>
          <w:p w14:paraId="27D36D9F" w14:textId="77777777" w:rsidR="00137889" w:rsidRDefault="00000000">
            <w:pPr>
              <w:jc w:val="both"/>
            </w:pPr>
            <w:r>
              <w:rPr>
                <w:color w:val="222222"/>
                <w:sz w:val="19"/>
                <w:szCs w:val="19"/>
              </w:rPr>
              <w:t>The box plots confirm that no single feature cleanly separates failed from non-failed assets — there is always overlap. This is exactly why a machine learning model is necessary: it can simultaneously evaluate all features together to find combinations that are highly discriminative. A maintenance engineer cannot manually assess 8–10 interacting risk factors for 50,000 assets — the ML model automates this synthesis.</w:t>
            </w:r>
          </w:p>
        </w:tc>
      </w:tr>
    </w:tbl>
    <w:p w14:paraId="27D36DA1"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A4"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A2" w14:textId="77777777" w:rsidR="00137889" w:rsidRDefault="00000000">
            <w:pPr>
              <w:jc w:val="center"/>
            </w:pPr>
            <w:r>
              <w:rPr>
                <w:b/>
                <w:bCs/>
                <w:color w:val="FFFFFF"/>
                <w:sz w:val="22"/>
                <w:szCs w:val="22"/>
              </w:rPr>
              <w:t>STEP 7</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A3" w14:textId="77777777" w:rsidR="00137889" w:rsidRDefault="00000000">
            <w:r>
              <w:rPr>
                <w:b/>
                <w:bCs/>
                <w:color w:val="1F3864"/>
                <w:sz w:val="22"/>
                <w:szCs w:val="22"/>
              </w:rPr>
              <w:t>Scatter Analysis — Risk Factor Interactions</w:t>
            </w:r>
          </w:p>
        </w:tc>
      </w:tr>
    </w:tbl>
    <w:p w14:paraId="27D36DA5" w14:textId="77777777" w:rsidR="00137889" w:rsidRDefault="00137889">
      <w:pPr>
        <w:spacing w:after="40"/>
      </w:pPr>
    </w:p>
    <w:p w14:paraId="27D36DA6" w14:textId="77777777" w:rsidR="00137889" w:rsidRDefault="00000000">
      <w:pPr>
        <w:spacing w:before="160" w:after="60"/>
      </w:pPr>
      <w:r>
        <w:rPr>
          <w:b/>
          <w:bCs/>
          <w:color w:val="1D6FA4"/>
          <w:sz w:val="23"/>
          <w:szCs w:val="23"/>
        </w:rPr>
        <w:t>What we did</w:t>
      </w:r>
    </w:p>
    <w:p w14:paraId="27D36DA7" w14:textId="77777777" w:rsidR="00137889" w:rsidRDefault="00000000">
      <w:pPr>
        <w:spacing w:before="50" w:after="50"/>
        <w:jc w:val="both"/>
      </w:pPr>
      <w:r>
        <w:rPr>
          <w:color w:val="222222"/>
          <w:sz w:val="19"/>
          <w:szCs w:val="19"/>
        </w:rPr>
        <w:t xml:space="preserve">Scatter plots reveal how two features interact to predict failure. Each point represents one asset, </w:t>
      </w:r>
      <w:proofErr w:type="spellStart"/>
      <w:r>
        <w:rPr>
          <w:color w:val="222222"/>
          <w:sz w:val="19"/>
          <w:szCs w:val="19"/>
        </w:rPr>
        <w:t>coloured</w:t>
      </w:r>
      <w:proofErr w:type="spellEnd"/>
      <w:r>
        <w:rPr>
          <w:color w:val="222222"/>
          <w:sz w:val="19"/>
          <w:szCs w:val="19"/>
        </w:rPr>
        <w:t xml:space="preserve"> by its failure status (red = failure, green = no failure). This is particularly valuable for understanding risk zones — combinations of feature values where failures are heavily concentrated. These interactions will be captured through engineered interaction features in the next phase.</w:t>
      </w:r>
    </w:p>
    <w:p w14:paraId="27D36DA8" w14:textId="77777777" w:rsidR="00137889" w:rsidRDefault="00137889">
      <w:pPr>
        <w:spacing w:after="40"/>
      </w:pPr>
    </w:p>
    <w:p w14:paraId="27D36DA9" w14:textId="77777777" w:rsidR="00137889" w:rsidRDefault="00000000">
      <w:pPr>
        <w:spacing w:before="100" w:after="100"/>
        <w:jc w:val="center"/>
      </w:pPr>
      <w:r>
        <w:rPr>
          <w:noProof/>
        </w:rPr>
        <w:lastRenderedPageBreak/>
        <w:drawing>
          <wp:inline distT="0" distB="0" distL="0" distR="0" wp14:anchorId="27D36E18" wp14:editId="27D36E19">
            <wp:extent cx="5524500" cy="2047875"/>
            <wp:effectExtent l="0" t="0" r="0" b="0"/>
            <wp:docPr id="1424150716" name="Picture 142415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47875"/>
                    </a:xfrm>
                    <a:prstGeom prst="rect">
                      <a:avLst/>
                    </a:prstGeom>
                  </pic:spPr>
                </pic:pic>
              </a:graphicData>
            </a:graphic>
          </wp:inline>
        </w:drawing>
      </w:r>
    </w:p>
    <w:p w14:paraId="27D36DAA" w14:textId="77777777" w:rsidR="00137889" w:rsidRDefault="00137889">
      <w:pPr>
        <w:spacing w:after="40"/>
      </w:pPr>
    </w:p>
    <w:p w14:paraId="27D36DAB" w14:textId="77777777" w:rsidR="00137889" w:rsidRDefault="00000000">
      <w:pPr>
        <w:spacing w:before="160" w:after="60"/>
      </w:pPr>
      <w:r>
        <w:rPr>
          <w:b/>
          <w:bCs/>
          <w:color w:val="1D6FA4"/>
          <w:sz w:val="23"/>
          <w:szCs w:val="23"/>
        </w:rPr>
        <w:t>What we interpret</w:t>
      </w:r>
    </w:p>
    <w:p w14:paraId="27D36DAC" w14:textId="77777777" w:rsidR="00137889" w:rsidRDefault="00000000">
      <w:pPr>
        <w:pStyle w:val="ListParagraph"/>
        <w:numPr>
          <w:ilvl w:val="0"/>
          <w:numId w:val="2"/>
        </w:numPr>
        <w:spacing w:before="35" w:after="35"/>
      </w:pPr>
      <w:r>
        <w:rPr>
          <w:b/>
          <w:bCs/>
          <w:color w:val="1D6FA4"/>
          <w:sz w:val="19"/>
          <w:szCs w:val="19"/>
        </w:rPr>
        <w:t xml:space="preserve">Equipment Health vs Storm Risk (Left): </w:t>
      </w:r>
      <w:r>
        <w:rPr>
          <w:sz w:val="19"/>
          <w:szCs w:val="19"/>
        </w:rPr>
        <w:t>The top-left zone (low health score + high storm risk) is heavily populated with red failure points. Assets with health scores below 40 and storm risk above 60 are extremely likely to fail. This defines a clear high-risk zone that the model should learn. Conversely, assets with high health scores (&gt;70) rarely fail even in high-storm-risk environments, suggesting good equipment condition provides resilience against weather stress.</w:t>
      </w:r>
    </w:p>
    <w:p w14:paraId="27D36DAD" w14:textId="77777777" w:rsidR="00137889" w:rsidRDefault="00000000">
      <w:pPr>
        <w:pStyle w:val="ListParagraph"/>
        <w:numPr>
          <w:ilvl w:val="0"/>
          <w:numId w:val="2"/>
        </w:numPr>
        <w:spacing w:before="35" w:after="35"/>
      </w:pPr>
      <w:r>
        <w:rPr>
          <w:b/>
          <w:bCs/>
          <w:color w:val="1D6FA4"/>
          <w:sz w:val="19"/>
          <w:szCs w:val="19"/>
        </w:rPr>
        <w:t xml:space="preserve">Maintenance Overdue vs Voltage Fluctuation (Right): </w:t>
      </w:r>
      <w:r>
        <w:rPr>
          <w:sz w:val="19"/>
          <w:szCs w:val="19"/>
        </w:rPr>
        <w:t>Red failure points are more concentrated in the upper-right quadrant (high overdue days + high voltage fluctuation). However, the separation is less clean than the health/storm plot, confirming that maintenance backlog and voltage instability are risk amplifiers rather than standalone failure causes.</w:t>
      </w:r>
    </w:p>
    <w:p w14:paraId="27D36DAE" w14:textId="77777777" w:rsidR="00137889" w:rsidRDefault="00000000">
      <w:pPr>
        <w:pStyle w:val="ListParagraph"/>
        <w:numPr>
          <w:ilvl w:val="0"/>
          <w:numId w:val="2"/>
        </w:numPr>
        <w:spacing w:before="35" w:after="35"/>
      </w:pPr>
      <w:r>
        <w:rPr>
          <w:b/>
          <w:bCs/>
          <w:color w:val="1D6FA4"/>
          <w:sz w:val="19"/>
          <w:szCs w:val="19"/>
        </w:rPr>
        <w:t xml:space="preserve">Interaction features to engineer: </w:t>
      </w:r>
      <w:r>
        <w:rPr>
          <w:sz w:val="19"/>
          <w:szCs w:val="19"/>
        </w:rPr>
        <w:t xml:space="preserve">Based on this analysis, we will create: (1) </w:t>
      </w:r>
      <w:proofErr w:type="spellStart"/>
      <w:r>
        <w:rPr>
          <w:sz w:val="19"/>
          <w:szCs w:val="19"/>
        </w:rPr>
        <w:t>health_score</w:t>
      </w:r>
      <w:proofErr w:type="spellEnd"/>
      <w:r>
        <w:rPr>
          <w:sz w:val="19"/>
          <w:szCs w:val="19"/>
        </w:rPr>
        <w:t xml:space="preserve"> × </w:t>
      </w:r>
      <w:proofErr w:type="spellStart"/>
      <w:r>
        <w:rPr>
          <w:sz w:val="19"/>
          <w:szCs w:val="19"/>
        </w:rPr>
        <w:t>storm_risk</w:t>
      </w:r>
      <w:proofErr w:type="spellEnd"/>
      <w:r>
        <w:rPr>
          <w:sz w:val="19"/>
          <w:szCs w:val="19"/>
        </w:rPr>
        <w:t xml:space="preserve"> interaction, (2) </w:t>
      </w:r>
      <w:proofErr w:type="spellStart"/>
      <w:r>
        <w:rPr>
          <w:sz w:val="19"/>
          <w:szCs w:val="19"/>
        </w:rPr>
        <w:t>load_utilization</w:t>
      </w:r>
      <w:proofErr w:type="spellEnd"/>
      <w:r>
        <w:rPr>
          <w:sz w:val="19"/>
          <w:szCs w:val="19"/>
        </w:rPr>
        <w:t xml:space="preserve"> × </w:t>
      </w:r>
      <w:proofErr w:type="spellStart"/>
      <w:r>
        <w:rPr>
          <w:sz w:val="19"/>
          <w:szCs w:val="19"/>
        </w:rPr>
        <w:t>asset_age</w:t>
      </w:r>
      <w:proofErr w:type="spellEnd"/>
      <w:r>
        <w:rPr>
          <w:sz w:val="19"/>
          <w:szCs w:val="19"/>
        </w:rPr>
        <w:t xml:space="preserve"> interaction, and (3) </w:t>
      </w:r>
      <w:proofErr w:type="spellStart"/>
      <w:r>
        <w:rPr>
          <w:sz w:val="19"/>
          <w:szCs w:val="19"/>
        </w:rPr>
        <w:t>transformer_temperature</w:t>
      </w:r>
      <w:proofErr w:type="spellEnd"/>
      <w:r>
        <w:rPr>
          <w:sz w:val="19"/>
          <w:szCs w:val="19"/>
        </w:rPr>
        <w:t xml:space="preserve"> × </w:t>
      </w:r>
      <w:proofErr w:type="spellStart"/>
      <w:r>
        <w:rPr>
          <w:sz w:val="19"/>
          <w:szCs w:val="19"/>
        </w:rPr>
        <w:t>oil_quality</w:t>
      </w:r>
      <w:proofErr w:type="spellEnd"/>
      <w:r>
        <w:rPr>
          <w:sz w:val="19"/>
          <w:szCs w:val="19"/>
        </w:rPr>
        <w:t xml:space="preserve"> interaction — these capture the combined risk that individual features miss.</w:t>
      </w:r>
    </w:p>
    <w:p w14:paraId="27D36DAF"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B2" w14:textId="77777777">
        <w:tblPrEx>
          <w:tblCellMar>
            <w:top w:w="0" w:type="dxa"/>
            <w:bottom w:w="0" w:type="dxa"/>
          </w:tblCellMar>
        </w:tblPrEx>
        <w:tc>
          <w:tcPr>
            <w:tcW w:w="9360" w:type="dxa"/>
            <w:tcBorders>
              <w:top w:val="single" w:sz="10" w:space="0" w:color="B7770D"/>
              <w:left w:val="single" w:sz="12" w:space="0" w:color="B7770D"/>
              <w:bottom w:val="single" w:sz="4" w:space="0" w:color="B7770D"/>
              <w:right w:val="single" w:sz="4" w:space="0" w:color="B7770D"/>
            </w:tcBorders>
            <w:shd w:val="clear" w:color="auto" w:fill="FFF8E1"/>
            <w:tcMar>
              <w:top w:w="100" w:type="dxa"/>
              <w:left w:w="160" w:type="dxa"/>
              <w:bottom w:w="100" w:type="dxa"/>
              <w:right w:w="160" w:type="dxa"/>
            </w:tcMar>
          </w:tcPr>
          <w:p w14:paraId="27D36DB0" w14:textId="77777777" w:rsidR="00137889" w:rsidRDefault="00000000">
            <w:pPr>
              <w:spacing w:after="40"/>
            </w:pPr>
            <w:proofErr w:type="gramStart"/>
            <w:r>
              <w:rPr>
                <w:b/>
                <w:bCs/>
                <w:color w:val="B7770D"/>
              </w:rPr>
              <w:t>💡  Key</w:t>
            </w:r>
            <w:proofErr w:type="gramEnd"/>
            <w:r>
              <w:rPr>
                <w:b/>
                <w:bCs/>
                <w:color w:val="B7770D"/>
              </w:rPr>
              <w:t xml:space="preserve"> Insight</w:t>
            </w:r>
          </w:p>
          <w:p w14:paraId="27D36DB1" w14:textId="77777777" w:rsidR="00137889" w:rsidRDefault="00000000">
            <w:pPr>
              <w:jc w:val="both"/>
            </w:pPr>
            <w:r>
              <w:rPr>
                <w:color w:val="222222"/>
                <w:sz w:val="19"/>
                <w:szCs w:val="19"/>
              </w:rPr>
              <w:t xml:space="preserve">The scatter analysis reveals that grid failure is a multi-dimensional problem. An asset with one risk factor is rarely certain to fail; it is the combination of poor </w:t>
            </w:r>
            <w:proofErr w:type="gramStart"/>
            <w:r>
              <w:rPr>
                <w:color w:val="222222"/>
                <w:sz w:val="19"/>
                <w:szCs w:val="19"/>
              </w:rPr>
              <w:t>equipment</w:t>
            </w:r>
            <w:proofErr w:type="gramEnd"/>
            <w:r>
              <w:rPr>
                <w:color w:val="222222"/>
                <w:sz w:val="19"/>
                <w:szCs w:val="19"/>
              </w:rPr>
              <w:t xml:space="preserve"> health AND environmental stress AND maintenance neglect that creates the highest-risk profiles. This justifies the use of tree-based ensemble models (</w:t>
            </w:r>
            <w:proofErr w:type="spellStart"/>
            <w:r>
              <w:rPr>
                <w:color w:val="222222"/>
                <w:sz w:val="19"/>
                <w:szCs w:val="19"/>
              </w:rPr>
              <w:t>XGBoost</w:t>
            </w:r>
            <w:proofErr w:type="spellEnd"/>
            <w:r>
              <w:rPr>
                <w:color w:val="222222"/>
                <w:sz w:val="19"/>
                <w:szCs w:val="19"/>
              </w:rPr>
              <w:t xml:space="preserve">, </w:t>
            </w:r>
            <w:proofErr w:type="spellStart"/>
            <w:r>
              <w:rPr>
                <w:color w:val="222222"/>
                <w:sz w:val="19"/>
                <w:szCs w:val="19"/>
              </w:rPr>
              <w:t>LightGBM</w:t>
            </w:r>
            <w:proofErr w:type="spellEnd"/>
            <w:r>
              <w:rPr>
                <w:color w:val="222222"/>
                <w:sz w:val="19"/>
                <w:szCs w:val="19"/>
              </w:rPr>
              <w:t>), which naturally capture these non-linear interactions without requiring explicit feature engineering.</w:t>
            </w:r>
          </w:p>
        </w:tc>
      </w:tr>
    </w:tbl>
    <w:p w14:paraId="27D36DB3" w14:textId="77777777" w:rsidR="00137889" w:rsidRDefault="0013788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37889" w14:paraId="27D36DB6" w14:textId="77777777">
        <w:tblPrEx>
          <w:tblCellMar>
            <w:top w:w="0" w:type="dxa"/>
            <w:bottom w:w="0" w:type="dxa"/>
          </w:tblCellMar>
        </w:tblPrEx>
        <w:tc>
          <w:tcPr>
            <w:tcW w:w="900" w:type="dxa"/>
            <w:tcBorders>
              <w:top w:val="single" w:sz="4" w:space="0" w:color="1D6FA4"/>
              <w:left w:val="single" w:sz="4" w:space="0" w:color="1D6FA4"/>
              <w:bottom w:val="single" w:sz="4" w:space="0" w:color="1D6FA4"/>
              <w:right w:val="single" w:sz="4" w:space="0" w:color="1D6FA4"/>
            </w:tcBorders>
            <w:shd w:val="clear" w:color="auto" w:fill="1D6FA4"/>
            <w:tcMar>
              <w:top w:w="80" w:type="dxa"/>
              <w:left w:w="120" w:type="dxa"/>
              <w:bottom w:w="80" w:type="dxa"/>
              <w:right w:w="120" w:type="dxa"/>
            </w:tcMar>
          </w:tcPr>
          <w:p w14:paraId="27D36DB4" w14:textId="77777777" w:rsidR="00137889" w:rsidRDefault="00000000">
            <w:pPr>
              <w:jc w:val="center"/>
            </w:pPr>
            <w:r>
              <w:rPr>
                <w:b/>
                <w:bCs/>
                <w:color w:val="FFFFFF"/>
                <w:sz w:val="22"/>
                <w:szCs w:val="22"/>
              </w:rPr>
              <w:t>STEP 8</w:t>
            </w:r>
          </w:p>
        </w:tc>
        <w:tc>
          <w:tcPr>
            <w:tcW w:w="8460" w:type="dxa"/>
            <w:tcBorders>
              <w:top w:val="single" w:sz="4" w:space="0" w:color="1D6FA4"/>
              <w:left w:val="single" w:sz="4" w:space="0" w:color="1D6FA4"/>
              <w:bottom w:val="single" w:sz="4" w:space="0" w:color="1D6FA4"/>
              <w:right w:val="single" w:sz="4" w:space="0" w:color="1D6FA4"/>
            </w:tcBorders>
            <w:shd w:val="clear" w:color="auto" w:fill="EBF3FB"/>
            <w:tcMar>
              <w:top w:w="80" w:type="dxa"/>
              <w:left w:w="160" w:type="dxa"/>
              <w:bottom w:w="80" w:type="dxa"/>
              <w:right w:w="120" w:type="dxa"/>
            </w:tcMar>
          </w:tcPr>
          <w:p w14:paraId="27D36DB5" w14:textId="77777777" w:rsidR="00137889" w:rsidRDefault="00000000">
            <w:r>
              <w:rPr>
                <w:b/>
                <w:bCs/>
                <w:color w:val="1F3864"/>
                <w:sz w:val="22"/>
                <w:szCs w:val="22"/>
              </w:rPr>
              <w:t>Business Impact Analysis — Financial &amp; Operational Consequences</w:t>
            </w:r>
          </w:p>
        </w:tc>
      </w:tr>
    </w:tbl>
    <w:p w14:paraId="27D36DB7" w14:textId="77777777" w:rsidR="00137889" w:rsidRDefault="00137889">
      <w:pPr>
        <w:spacing w:after="40"/>
      </w:pPr>
    </w:p>
    <w:p w14:paraId="27D36DB8" w14:textId="77777777" w:rsidR="00137889" w:rsidRDefault="00000000">
      <w:pPr>
        <w:spacing w:before="160" w:after="60"/>
      </w:pPr>
      <w:r>
        <w:rPr>
          <w:b/>
          <w:bCs/>
          <w:color w:val="1D6FA4"/>
          <w:sz w:val="23"/>
          <w:szCs w:val="23"/>
        </w:rPr>
        <w:t>What we did</w:t>
      </w:r>
    </w:p>
    <w:p w14:paraId="27D36DB9" w14:textId="77777777" w:rsidR="00137889" w:rsidRDefault="00000000">
      <w:pPr>
        <w:spacing w:before="50" w:after="50"/>
        <w:jc w:val="both"/>
      </w:pPr>
      <w:r>
        <w:rPr>
          <w:color w:val="222222"/>
          <w:sz w:val="19"/>
          <w:szCs w:val="19"/>
        </w:rPr>
        <w:t>EDA is not just about model features — it must also quantify the business value at stake. This step analyses the financial and operational consequences of grid failures captured in the dataset: estimated revenue loss per asset, total revenue at risk by region, and the number of customers potentially affected by each failure. This frames the model's value in business terms.</w:t>
      </w:r>
    </w:p>
    <w:p w14:paraId="27D36DBA" w14:textId="77777777" w:rsidR="00137889" w:rsidRDefault="00137889">
      <w:pPr>
        <w:spacing w:after="40"/>
      </w:pPr>
    </w:p>
    <w:p w14:paraId="27D36DBB" w14:textId="77777777" w:rsidR="00137889" w:rsidRDefault="00000000">
      <w:pPr>
        <w:spacing w:before="100" w:after="100"/>
        <w:jc w:val="center"/>
      </w:pPr>
      <w:r>
        <w:rPr>
          <w:noProof/>
        </w:rPr>
        <w:drawing>
          <wp:inline distT="0" distB="0" distL="0" distR="0" wp14:anchorId="27D36E1A" wp14:editId="27D36E1B">
            <wp:extent cx="5524500" cy="1762125"/>
            <wp:effectExtent l="0" t="0" r="0" b="0"/>
            <wp:docPr id="550294826" name="Picture 55029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762125"/>
                    </a:xfrm>
                    <a:prstGeom prst="rect">
                      <a:avLst/>
                    </a:prstGeom>
                  </pic:spPr>
                </pic:pic>
              </a:graphicData>
            </a:graphic>
          </wp:inline>
        </w:drawing>
      </w:r>
    </w:p>
    <w:p w14:paraId="27D36DBC" w14:textId="77777777" w:rsidR="00137889" w:rsidRDefault="00137889">
      <w:pPr>
        <w:spacing w:after="40"/>
      </w:pPr>
    </w:p>
    <w:p w14:paraId="27D36DBD" w14:textId="77777777" w:rsidR="00137889" w:rsidRDefault="00000000">
      <w:pPr>
        <w:spacing w:before="160" w:after="60"/>
      </w:pPr>
      <w:r>
        <w:rPr>
          <w:b/>
          <w:bCs/>
          <w:color w:val="1D6FA4"/>
          <w:sz w:val="23"/>
          <w:szCs w:val="23"/>
        </w:rPr>
        <w:t>What we interpret</w:t>
      </w:r>
    </w:p>
    <w:p w14:paraId="27D36DBE" w14:textId="77777777" w:rsidR="00137889" w:rsidRDefault="00000000">
      <w:pPr>
        <w:pStyle w:val="ListParagraph"/>
        <w:numPr>
          <w:ilvl w:val="0"/>
          <w:numId w:val="2"/>
        </w:numPr>
        <w:spacing w:before="35" w:after="35"/>
      </w:pPr>
      <w:r>
        <w:rPr>
          <w:b/>
          <w:bCs/>
          <w:color w:val="1D6FA4"/>
          <w:sz w:val="19"/>
          <w:szCs w:val="19"/>
        </w:rPr>
        <w:t xml:space="preserve">Revenue Loss Distribution: </w:t>
      </w:r>
      <w:r>
        <w:rPr>
          <w:sz w:val="19"/>
          <w:szCs w:val="19"/>
        </w:rPr>
        <w:t xml:space="preserve">Estimated revenue loss for failed assets is broadly distributed from $100K to over $1M per incident, with a mean of approximately $617K. </w:t>
      </w:r>
      <w:proofErr w:type="gramStart"/>
      <w:r>
        <w:rPr>
          <w:sz w:val="19"/>
          <w:szCs w:val="19"/>
        </w:rPr>
        <w:t>Non-failed</w:t>
      </w:r>
      <w:proofErr w:type="gramEnd"/>
      <w:r>
        <w:rPr>
          <w:sz w:val="19"/>
          <w:szCs w:val="19"/>
        </w:rPr>
        <w:t xml:space="preserve"> assets still show estimated risk ($587K mean), confirming that even near-miss events have significant financial exposure.</w:t>
      </w:r>
    </w:p>
    <w:p w14:paraId="27D36DBF" w14:textId="77777777" w:rsidR="00137889" w:rsidRDefault="00000000">
      <w:pPr>
        <w:pStyle w:val="ListParagraph"/>
        <w:numPr>
          <w:ilvl w:val="0"/>
          <w:numId w:val="2"/>
        </w:numPr>
        <w:spacing w:before="35" w:after="35"/>
      </w:pPr>
      <w:r>
        <w:rPr>
          <w:b/>
          <w:bCs/>
          <w:color w:val="1D6FA4"/>
          <w:sz w:val="19"/>
          <w:szCs w:val="19"/>
        </w:rPr>
        <w:t xml:space="preserve">Revenue at Risk by Region: </w:t>
      </w:r>
      <w:r>
        <w:rPr>
          <w:sz w:val="19"/>
          <w:szCs w:val="19"/>
        </w:rPr>
        <w:t>All five regions face comparable financial exposure from failed assets — no single region is disproportionately at risk. This reinforces that the predictive model needs to be deployed across the entire network, not targeted at a specific geography.</w:t>
      </w:r>
    </w:p>
    <w:p w14:paraId="27D36DC0" w14:textId="77777777" w:rsidR="00137889" w:rsidRDefault="00000000">
      <w:pPr>
        <w:pStyle w:val="ListParagraph"/>
        <w:numPr>
          <w:ilvl w:val="0"/>
          <w:numId w:val="2"/>
        </w:numPr>
        <w:spacing w:before="35" w:after="35"/>
      </w:pPr>
      <w:r>
        <w:rPr>
          <w:b/>
          <w:bCs/>
          <w:color w:val="1D6FA4"/>
          <w:sz w:val="19"/>
          <w:szCs w:val="19"/>
        </w:rPr>
        <w:t xml:space="preserve">Customer Impact: </w:t>
      </w:r>
      <w:r>
        <w:rPr>
          <w:sz w:val="19"/>
          <w:szCs w:val="19"/>
        </w:rPr>
        <w:t>Each failed asset affects an average of approximately 5,000 customers. With 21,725 failure events in the dataset, the cumulative customer impact is over 100 million customer-outage events. Even a 15% reduction in failures through predictive maintenance would protect millions of customers from service interruption.</w:t>
      </w:r>
    </w:p>
    <w:p w14:paraId="27D36DC1"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37889" w14:paraId="27D36D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C2" w14:textId="77777777" w:rsidR="00137889" w:rsidRDefault="00000000">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C3" w14:textId="77777777" w:rsidR="00137889" w:rsidRDefault="00000000">
            <w:r>
              <w:rPr>
                <w:b/>
                <w:bCs/>
                <w:color w:val="FFFFFF"/>
                <w:sz w:val="18"/>
                <w:szCs w:val="18"/>
              </w:rPr>
              <w:t>Failed Assets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C4" w14:textId="77777777" w:rsidR="00137889" w:rsidRDefault="00000000">
            <w:r>
              <w:rPr>
                <w:b/>
                <w:bCs/>
                <w:color w:val="FFFFFF"/>
                <w:sz w:val="18"/>
                <w:szCs w:val="18"/>
              </w:rPr>
              <w:t>Non-Failed Assets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C5" w14:textId="77777777" w:rsidR="00137889" w:rsidRDefault="00000000">
            <w:r>
              <w:rPr>
                <w:b/>
                <w:bCs/>
                <w:color w:val="FFFFFF"/>
                <w:sz w:val="18"/>
                <w:szCs w:val="18"/>
              </w:rPr>
              <w:t>Difference</w:t>
            </w:r>
          </w:p>
        </w:tc>
      </w:tr>
      <w:tr w:rsidR="00137889" w14:paraId="27D36D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C7" w14:textId="77777777" w:rsidR="00137889" w:rsidRDefault="00000000">
            <w:r>
              <w:rPr>
                <w:b/>
                <w:bCs/>
                <w:color w:val="222222"/>
                <w:sz w:val="18"/>
                <w:szCs w:val="18"/>
              </w:rPr>
              <w:t>Mean Revenue Loss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C8" w14:textId="77777777" w:rsidR="00137889" w:rsidRDefault="00000000">
            <w:r>
              <w:rPr>
                <w:color w:val="222222"/>
                <w:sz w:val="18"/>
                <w:szCs w:val="18"/>
              </w:rPr>
              <w:t>$617,124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C9" w14:textId="77777777" w:rsidR="00137889" w:rsidRDefault="00000000">
            <w:r>
              <w:rPr>
                <w:color w:val="222222"/>
                <w:sz w:val="18"/>
                <w:szCs w:val="18"/>
              </w:rPr>
              <w:t>$586,993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CA" w14:textId="77777777" w:rsidR="00137889" w:rsidRDefault="00000000">
            <w:r>
              <w:rPr>
                <w:color w:val="222222"/>
                <w:sz w:val="18"/>
                <w:szCs w:val="18"/>
              </w:rPr>
              <w:t>+$30,131 per event</w:t>
            </w:r>
          </w:p>
        </w:tc>
      </w:tr>
      <w:tr w:rsidR="00137889" w14:paraId="27D36D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CC" w14:textId="77777777" w:rsidR="00137889" w:rsidRDefault="00000000">
            <w:r>
              <w:rPr>
                <w:b/>
                <w:bCs/>
                <w:color w:val="222222"/>
                <w:sz w:val="18"/>
                <w:szCs w:val="18"/>
              </w:rPr>
              <w:t>Mean Regulatory Penalty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CD" w14:textId="77777777" w:rsidR="00137889" w:rsidRDefault="00000000">
            <w:r>
              <w:rPr>
                <w:color w:val="222222"/>
                <w:sz w:val="18"/>
                <w:szCs w:val="18"/>
              </w:rPr>
              <w:t>$250,861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CE" w14:textId="77777777" w:rsidR="00137889" w:rsidRDefault="00000000">
            <w:r>
              <w:rPr>
                <w:color w:val="222222"/>
                <w:sz w:val="18"/>
                <w:szCs w:val="18"/>
              </w:rPr>
              <w:t>$249,494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CF" w14:textId="77777777" w:rsidR="00137889" w:rsidRDefault="00000000">
            <w:r>
              <w:rPr>
                <w:color w:val="222222"/>
                <w:sz w:val="18"/>
                <w:szCs w:val="18"/>
              </w:rPr>
              <w:t>+$1,367 per event</w:t>
            </w:r>
          </w:p>
        </w:tc>
      </w:tr>
      <w:tr w:rsidR="00137889" w14:paraId="27D36D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D1" w14:textId="77777777" w:rsidR="00137889" w:rsidRDefault="00000000">
            <w:r>
              <w:rPr>
                <w:b/>
                <w:bCs/>
                <w:color w:val="222222"/>
                <w:sz w:val="18"/>
                <w:szCs w:val="18"/>
              </w:rPr>
              <w:t>Mean Customers Served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D2" w14:textId="77777777" w:rsidR="00137889" w:rsidRDefault="00000000">
            <w:r>
              <w:rPr>
                <w:color w:val="222222"/>
                <w:sz w:val="18"/>
                <w:szCs w:val="18"/>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D3" w14:textId="77777777" w:rsidR="00137889" w:rsidRDefault="00000000">
            <w:r>
              <w:rPr>
                <w:color w:val="222222"/>
                <w:sz w:val="18"/>
                <w:szCs w:val="18"/>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D4" w14:textId="77777777" w:rsidR="00137889" w:rsidRDefault="00000000">
            <w:r>
              <w:rPr>
                <w:color w:val="222222"/>
                <w:sz w:val="18"/>
                <w:szCs w:val="18"/>
              </w:rPr>
              <w:t>Equal exposure</w:t>
            </w:r>
          </w:p>
        </w:tc>
      </w:tr>
      <w:tr w:rsidR="00137889" w14:paraId="27D36D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D6" w14:textId="77777777" w:rsidR="00137889" w:rsidRDefault="00000000">
            <w:r>
              <w:rPr>
                <w:b/>
                <w:bCs/>
                <w:color w:val="222222"/>
                <w:sz w:val="18"/>
                <w:szCs w:val="18"/>
              </w:rPr>
              <w:t>Total Failure Events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D7" w14:textId="77777777" w:rsidR="00137889" w:rsidRDefault="00000000">
            <w:r>
              <w:rPr>
                <w:color w:val="222222"/>
                <w:sz w:val="18"/>
                <w:szCs w:val="18"/>
              </w:rPr>
              <w:t>21,725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D8" w14:textId="77777777" w:rsidR="00137889" w:rsidRDefault="00000000">
            <w:r>
              <w:rPr>
                <w:color w:val="222222"/>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D9" w14:textId="77777777" w:rsidR="00137889" w:rsidRDefault="00000000">
            <w:r>
              <w:rPr>
                <w:color w:val="222222"/>
                <w:sz w:val="18"/>
                <w:szCs w:val="18"/>
              </w:rPr>
              <w:t>43% of all assets</w:t>
            </w:r>
          </w:p>
        </w:tc>
      </w:tr>
    </w:tbl>
    <w:p w14:paraId="27D36DDB" w14:textId="77777777" w:rsidR="00137889" w:rsidRDefault="0013788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DDE" w14:textId="77777777">
        <w:tblPrEx>
          <w:tblCellMar>
            <w:top w:w="0" w:type="dxa"/>
            <w:bottom w:w="0" w:type="dxa"/>
          </w:tblCellMar>
        </w:tblPrEx>
        <w:tc>
          <w:tcPr>
            <w:tcW w:w="9360" w:type="dxa"/>
            <w:tcBorders>
              <w:top w:val="single" w:sz="10" w:space="0" w:color="1E8449"/>
              <w:left w:val="single" w:sz="12" w:space="0" w:color="1E8449"/>
              <w:bottom w:val="single" w:sz="4" w:space="0" w:color="1E8449"/>
              <w:right w:val="single" w:sz="4" w:space="0" w:color="1E8449"/>
            </w:tcBorders>
            <w:shd w:val="clear" w:color="auto" w:fill="EEF6EE"/>
            <w:tcMar>
              <w:top w:w="100" w:type="dxa"/>
              <w:left w:w="160" w:type="dxa"/>
              <w:bottom w:w="100" w:type="dxa"/>
              <w:right w:w="160" w:type="dxa"/>
            </w:tcMar>
          </w:tcPr>
          <w:p w14:paraId="27D36DDC" w14:textId="77777777" w:rsidR="00137889" w:rsidRDefault="00000000">
            <w:pPr>
              <w:spacing w:after="40"/>
            </w:pPr>
            <w:proofErr w:type="gramStart"/>
            <w:r>
              <w:rPr>
                <w:b/>
                <w:bCs/>
                <w:color w:val="1E8449"/>
              </w:rPr>
              <w:t>💡  Key</w:t>
            </w:r>
            <w:proofErr w:type="gramEnd"/>
            <w:r>
              <w:rPr>
                <w:b/>
                <w:bCs/>
                <w:color w:val="1E8449"/>
              </w:rPr>
              <w:t xml:space="preserve"> Insight</w:t>
            </w:r>
          </w:p>
          <w:p w14:paraId="27D36DDD" w14:textId="77777777" w:rsidR="00137889" w:rsidRDefault="00000000">
            <w:pPr>
              <w:jc w:val="both"/>
            </w:pPr>
            <w:r>
              <w:rPr>
                <w:color w:val="222222"/>
                <w:sz w:val="19"/>
                <w:szCs w:val="19"/>
              </w:rPr>
              <w:t>The business case for predictive maintenance is compelling. Assuming the ML model can prevent 20% of failures (conservative, per industry benchmarks), and each prevented failure saves $617K in revenue loss plus $250K in regulatory penalties, the annual value generated is: 21,725 × 20% × $867K ≈ $3.76 Billion in avoided losses. Even at 5% prevention, the ROI is substantial. This quantification should anchor all executive stakeholder communications.</w:t>
            </w:r>
          </w:p>
        </w:tc>
      </w:tr>
    </w:tbl>
    <w:p w14:paraId="27D36DDF" w14:textId="77777777" w:rsidR="00137889" w:rsidRDefault="00137889">
      <w:pPr>
        <w:spacing w:after="120"/>
      </w:pPr>
    </w:p>
    <w:p w14:paraId="27D36DE0" w14:textId="77777777" w:rsidR="00137889" w:rsidRDefault="00000000">
      <w:pPr>
        <w:pBdr>
          <w:bottom w:val="single" w:sz="10" w:space="4" w:color="1D6FA4"/>
        </w:pBdr>
        <w:spacing w:before="240" w:after="100"/>
      </w:pPr>
      <w:r>
        <w:rPr>
          <w:b/>
          <w:bCs/>
          <w:color w:val="1F3864"/>
          <w:sz w:val="28"/>
          <w:szCs w:val="28"/>
        </w:rPr>
        <w:t>EDA Summary — Key Findings &amp; Next Steps</w:t>
      </w:r>
    </w:p>
    <w:p w14:paraId="27D36DE1" w14:textId="77777777" w:rsidR="00137889" w:rsidRDefault="0013788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889" w14:paraId="27D36D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E2" w14:textId="77777777" w:rsidR="00137889" w:rsidRDefault="00000000">
            <w:r>
              <w:rPr>
                <w:b/>
                <w:bCs/>
                <w:color w:val="FFFFFF"/>
                <w:sz w:val="18"/>
                <w:szCs w:val="18"/>
              </w:rPr>
              <w:t>Finding</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E3" w14:textId="77777777" w:rsidR="00137889" w:rsidRDefault="00000000">
            <w:r>
              <w:rPr>
                <w:b/>
                <w:bCs/>
                <w:color w:val="FFFFFF"/>
                <w:sz w:val="18"/>
                <w:szCs w:val="18"/>
              </w:rPr>
              <w:t>Detail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36DE4" w14:textId="77777777" w:rsidR="00137889" w:rsidRDefault="00000000">
            <w:r>
              <w:rPr>
                <w:b/>
                <w:bCs/>
                <w:color w:val="FFFFFF"/>
                <w:sz w:val="18"/>
                <w:szCs w:val="18"/>
              </w:rPr>
              <w:t>Action Required</w:t>
            </w:r>
          </w:p>
        </w:tc>
      </w:tr>
      <w:tr w:rsidR="00137889" w14:paraId="27D36D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E6" w14:textId="77777777" w:rsidR="00137889" w:rsidRDefault="00000000">
            <w:r>
              <w:rPr>
                <w:b/>
                <w:bCs/>
                <w:color w:val="222222"/>
                <w:sz w:val="18"/>
                <w:szCs w:val="18"/>
              </w:rPr>
              <w:t>Class imbalance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E7" w14:textId="77777777" w:rsidR="00137889" w:rsidRDefault="00000000">
            <w:r>
              <w:rPr>
                <w:color w:val="222222"/>
                <w:sz w:val="18"/>
                <w:szCs w:val="18"/>
              </w:rPr>
              <w:t>43% failure / 57% no-failure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E8" w14:textId="77777777" w:rsidR="00137889" w:rsidRDefault="00000000">
            <w:r>
              <w:rPr>
                <w:color w:val="222222"/>
                <w:sz w:val="18"/>
                <w:szCs w:val="18"/>
              </w:rPr>
              <w:t>Apply SMOTE in feature engineering</w:t>
            </w:r>
          </w:p>
        </w:tc>
      </w:tr>
      <w:tr w:rsidR="00137889" w14:paraId="27D36D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EA" w14:textId="77777777" w:rsidR="00137889" w:rsidRDefault="00000000">
            <w:r>
              <w:rPr>
                <w:b/>
                <w:bCs/>
                <w:color w:val="222222"/>
                <w:sz w:val="18"/>
                <w:szCs w:val="18"/>
              </w:rPr>
              <w:t>Missing values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EB" w14:textId="77777777" w:rsidR="00137889" w:rsidRDefault="00000000">
            <w:r>
              <w:rPr>
                <w:color w:val="222222"/>
                <w:sz w:val="18"/>
                <w:szCs w:val="18"/>
              </w:rPr>
              <w:t xml:space="preserve">~10% in </w:t>
            </w:r>
            <w:proofErr w:type="spellStart"/>
            <w:r>
              <w:rPr>
                <w:color w:val="222222"/>
                <w:sz w:val="18"/>
                <w:szCs w:val="18"/>
              </w:rPr>
              <w:t>oil_quality_score</w:t>
            </w:r>
            <w:proofErr w:type="spellEnd"/>
            <w:r>
              <w:rPr>
                <w:color w:val="222222"/>
                <w:sz w:val="18"/>
                <w:szCs w:val="18"/>
              </w:rPr>
              <w:t xml:space="preserve"> and </w:t>
            </w:r>
            <w:proofErr w:type="spellStart"/>
            <w:r>
              <w:rPr>
                <w:color w:val="222222"/>
                <w:sz w:val="18"/>
                <w:szCs w:val="18"/>
              </w:rPr>
              <w:t>inspection_score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EC" w14:textId="77777777" w:rsidR="00137889" w:rsidRDefault="00000000">
            <w:r>
              <w:rPr>
                <w:color w:val="222222"/>
                <w:sz w:val="18"/>
                <w:szCs w:val="18"/>
              </w:rPr>
              <w:t xml:space="preserve">Median imputation by </w:t>
            </w:r>
            <w:proofErr w:type="spellStart"/>
            <w:r>
              <w:rPr>
                <w:color w:val="222222"/>
                <w:sz w:val="18"/>
                <w:szCs w:val="18"/>
              </w:rPr>
              <w:t>asset_type</w:t>
            </w:r>
            <w:proofErr w:type="spellEnd"/>
          </w:p>
        </w:tc>
      </w:tr>
      <w:tr w:rsidR="00137889" w14:paraId="27D36D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EE" w14:textId="77777777" w:rsidR="00137889" w:rsidRDefault="00000000">
            <w:r>
              <w:rPr>
                <w:b/>
                <w:bCs/>
                <w:color w:val="222222"/>
                <w:sz w:val="18"/>
                <w:szCs w:val="18"/>
              </w:rPr>
              <w:t>Casing inconsistency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EF" w14:textId="77777777" w:rsidR="00137889" w:rsidRDefault="00000000">
            <w:proofErr w:type="spellStart"/>
            <w:r>
              <w:rPr>
                <w:color w:val="222222"/>
                <w:sz w:val="18"/>
                <w:szCs w:val="18"/>
              </w:rPr>
              <w:t>asset_type</w:t>
            </w:r>
            <w:proofErr w:type="spellEnd"/>
            <w:r>
              <w:rPr>
                <w:color w:val="222222"/>
                <w:sz w:val="18"/>
                <w:szCs w:val="18"/>
              </w:rPr>
              <w:t xml:space="preserve"> has 3 variants of "Transformer"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0" w14:textId="77777777" w:rsidR="00137889" w:rsidRDefault="00000000">
            <w:proofErr w:type="spellStart"/>
            <w:proofErr w:type="gramStart"/>
            <w:r>
              <w:rPr>
                <w:color w:val="222222"/>
                <w:sz w:val="18"/>
                <w:szCs w:val="18"/>
              </w:rPr>
              <w:t>str.strip</w:t>
            </w:r>
            <w:proofErr w:type="spellEnd"/>
            <w:proofErr w:type="gramEnd"/>
            <w:r>
              <w:rPr>
                <w:color w:val="222222"/>
                <w:sz w:val="18"/>
                <w:szCs w:val="18"/>
              </w:rPr>
              <w:t>().</w:t>
            </w:r>
            <w:proofErr w:type="spellStart"/>
            <w:proofErr w:type="gramStart"/>
            <w:r>
              <w:rPr>
                <w:color w:val="222222"/>
                <w:sz w:val="18"/>
                <w:szCs w:val="18"/>
              </w:rPr>
              <w:t>str.title</w:t>
            </w:r>
            <w:proofErr w:type="spellEnd"/>
            <w:proofErr w:type="gramEnd"/>
            <w:r>
              <w:rPr>
                <w:color w:val="222222"/>
                <w:sz w:val="18"/>
                <w:szCs w:val="18"/>
              </w:rPr>
              <w:t xml:space="preserve">() </w:t>
            </w:r>
            <w:proofErr w:type="spellStart"/>
            <w:r>
              <w:rPr>
                <w:color w:val="222222"/>
                <w:sz w:val="18"/>
                <w:szCs w:val="18"/>
              </w:rPr>
              <w:t>normalisation</w:t>
            </w:r>
            <w:proofErr w:type="spellEnd"/>
          </w:p>
        </w:tc>
      </w:tr>
      <w:tr w:rsidR="00137889" w14:paraId="27D36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2" w14:textId="77777777" w:rsidR="00137889" w:rsidRDefault="00000000">
            <w:r>
              <w:rPr>
                <w:b/>
                <w:bCs/>
                <w:color w:val="222222"/>
                <w:sz w:val="18"/>
                <w:szCs w:val="18"/>
              </w:rPr>
              <w:t>Top failure predictors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3" w14:textId="77777777" w:rsidR="00137889" w:rsidRDefault="00000000">
            <w:proofErr w:type="gramStart"/>
            <w:r>
              <w:rPr>
                <w:color w:val="222222"/>
                <w:sz w:val="18"/>
                <w:szCs w:val="18"/>
              </w:rPr>
              <w:t>Equipment</w:t>
            </w:r>
            <w:proofErr w:type="gramEnd"/>
            <w:r>
              <w:rPr>
                <w:color w:val="222222"/>
                <w:sz w:val="18"/>
                <w:szCs w:val="18"/>
              </w:rPr>
              <w:t xml:space="preserve"> health, storm risk, maintenance overdue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4" w14:textId="77777777" w:rsidR="00137889" w:rsidRDefault="00000000">
            <w:r>
              <w:rPr>
                <w:color w:val="222222"/>
                <w:sz w:val="18"/>
                <w:szCs w:val="18"/>
              </w:rPr>
              <w:t>Include as primary model features</w:t>
            </w:r>
          </w:p>
        </w:tc>
      </w:tr>
      <w:tr w:rsidR="00137889" w14:paraId="27D36D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6" w14:textId="77777777" w:rsidR="00137889" w:rsidRDefault="00000000">
            <w:r>
              <w:rPr>
                <w:b/>
                <w:bCs/>
                <w:color w:val="222222"/>
                <w:sz w:val="18"/>
                <w:szCs w:val="18"/>
              </w:rPr>
              <w:t>Low-signal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7" w14:textId="77777777" w:rsidR="00137889" w:rsidRDefault="00000000">
            <w:proofErr w:type="spellStart"/>
            <w:r>
              <w:rPr>
                <w:color w:val="222222"/>
                <w:sz w:val="18"/>
                <w:szCs w:val="18"/>
              </w:rPr>
              <w:t>asset_age_years</w:t>
            </w:r>
            <w:proofErr w:type="spellEnd"/>
            <w:r>
              <w:rPr>
                <w:color w:val="222222"/>
                <w:sz w:val="18"/>
                <w:szCs w:val="18"/>
              </w:rPr>
              <w:t xml:space="preserve">, </w:t>
            </w:r>
            <w:proofErr w:type="spellStart"/>
            <w:r>
              <w:rPr>
                <w:color w:val="222222"/>
                <w:sz w:val="18"/>
                <w:szCs w:val="18"/>
              </w:rPr>
              <w:t>humidity_pct</w:t>
            </w:r>
            <w:proofErr w:type="spellEnd"/>
            <w:r>
              <w:rPr>
                <w:color w:val="222222"/>
                <w:sz w:val="18"/>
                <w:szCs w:val="18"/>
              </w:rPr>
              <w:t xml:space="preserve">, </w:t>
            </w:r>
            <w:proofErr w:type="spellStart"/>
            <w:r>
              <w:rPr>
                <w:color w:val="222222"/>
                <w:sz w:val="18"/>
                <w:szCs w:val="18"/>
              </w:rPr>
              <w:t>rainfall_mm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8" w14:textId="77777777" w:rsidR="00137889" w:rsidRDefault="00000000">
            <w:r>
              <w:rPr>
                <w:color w:val="222222"/>
                <w:sz w:val="18"/>
                <w:szCs w:val="18"/>
              </w:rPr>
              <w:t>Use in interaction features only</w:t>
            </w:r>
          </w:p>
        </w:tc>
      </w:tr>
      <w:tr w:rsidR="00137889" w14:paraId="27D36D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A" w14:textId="77777777" w:rsidR="00137889" w:rsidRDefault="00000000">
            <w:r>
              <w:rPr>
                <w:b/>
                <w:bCs/>
                <w:color w:val="222222"/>
                <w:sz w:val="18"/>
                <w:szCs w:val="18"/>
              </w:rPr>
              <w:t>Legacy columns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B" w14:textId="77777777" w:rsidR="00137889" w:rsidRDefault="00000000">
            <w:proofErr w:type="spellStart"/>
            <w:r>
              <w:rPr>
                <w:color w:val="222222"/>
                <w:sz w:val="18"/>
                <w:szCs w:val="18"/>
              </w:rPr>
              <w:t>legacy_asset_code</w:t>
            </w:r>
            <w:proofErr w:type="spellEnd"/>
            <w:r>
              <w:rPr>
                <w:color w:val="222222"/>
                <w:sz w:val="18"/>
                <w:szCs w:val="18"/>
              </w:rPr>
              <w:t xml:space="preserve">, </w:t>
            </w:r>
            <w:proofErr w:type="spellStart"/>
            <w:r>
              <w:rPr>
                <w:color w:val="222222"/>
                <w:sz w:val="18"/>
                <w:szCs w:val="18"/>
              </w:rPr>
              <w:t>monitoring_batch_id</w:t>
            </w:r>
            <w:proofErr w:type="spellEnd"/>
            <w:r>
              <w:rPr>
                <w:color w:val="222222"/>
                <w:sz w:val="18"/>
                <w:szCs w:val="18"/>
              </w:rPr>
              <w:t xml:space="preserve">, </w:t>
            </w:r>
            <w:proofErr w:type="spellStart"/>
            <w:r>
              <w:rPr>
                <w:color w:val="222222"/>
                <w:sz w:val="18"/>
                <w:szCs w:val="18"/>
              </w:rPr>
              <w:t>administrative_reference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DFC" w14:textId="77777777" w:rsidR="00137889" w:rsidRDefault="00000000">
            <w:r>
              <w:rPr>
                <w:color w:val="222222"/>
                <w:sz w:val="18"/>
                <w:szCs w:val="18"/>
              </w:rPr>
              <w:t>Drop before modelling</w:t>
            </w:r>
          </w:p>
        </w:tc>
      </w:tr>
      <w:tr w:rsidR="00137889" w14:paraId="27D36E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E" w14:textId="77777777" w:rsidR="00137889" w:rsidRDefault="00000000">
            <w:r>
              <w:rPr>
                <w:b/>
                <w:bCs/>
                <w:color w:val="222222"/>
                <w:sz w:val="18"/>
                <w:szCs w:val="18"/>
              </w:rPr>
              <w:t>Multicollinearity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DFF" w14:textId="77777777" w:rsidR="00137889" w:rsidRDefault="00000000">
            <w:proofErr w:type="spellStart"/>
            <w:r>
              <w:rPr>
                <w:color w:val="222222"/>
                <w:sz w:val="18"/>
                <w:szCs w:val="18"/>
              </w:rPr>
              <w:t>health_score</w:t>
            </w:r>
            <w:proofErr w:type="spellEnd"/>
            <w:r>
              <w:rPr>
                <w:color w:val="222222"/>
                <w:sz w:val="18"/>
                <w:szCs w:val="18"/>
              </w:rPr>
              <w:t xml:space="preserve"> and </w:t>
            </w:r>
            <w:proofErr w:type="spellStart"/>
            <w:r>
              <w:rPr>
                <w:color w:val="222222"/>
                <w:sz w:val="18"/>
                <w:szCs w:val="18"/>
              </w:rPr>
              <w:t>oil_quality_score</w:t>
            </w:r>
            <w:proofErr w:type="spellEnd"/>
            <w:r>
              <w:rPr>
                <w:color w:val="222222"/>
                <w:sz w:val="18"/>
                <w:szCs w:val="18"/>
              </w:rPr>
              <w:t xml:space="preserve"> correlated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6E00" w14:textId="77777777" w:rsidR="00137889" w:rsidRDefault="00000000">
            <w:r>
              <w:rPr>
                <w:color w:val="222222"/>
                <w:sz w:val="18"/>
                <w:szCs w:val="18"/>
              </w:rPr>
              <w:t>VIF analysis in feature engineering</w:t>
            </w:r>
          </w:p>
        </w:tc>
      </w:tr>
      <w:tr w:rsidR="00137889" w14:paraId="27D36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E02" w14:textId="77777777" w:rsidR="00137889" w:rsidRDefault="00000000">
            <w:r>
              <w:rPr>
                <w:b/>
                <w:bCs/>
                <w:color w:val="222222"/>
                <w:sz w:val="18"/>
                <w:szCs w:val="18"/>
              </w:rPr>
              <w:t>Business impact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E03" w14:textId="77777777" w:rsidR="00137889" w:rsidRDefault="00000000">
            <w:r>
              <w:rPr>
                <w:color w:val="222222"/>
                <w:sz w:val="18"/>
                <w:szCs w:val="18"/>
              </w:rPr>
              <w:t xml:space="preserve">$617K </w:t>
            </w:r>
            <w:proofErr w:type="gramStart"/>
            <w:r>
              <w:rPr>
                <w:color w:val="222222"/>
                <w:sz w:val="18"/>
                <w:szCs w:val="18"/>
              </w:rPr>
              <w:t>mean</w:t>
            </w:r>
            <w:proofErr w:type="gramEnd"/>
            <w:r>
              <w:rPr>
                <w:color w:val="222222"/>
                <w:sz w:val="18"/>
                <w:szCs w:val="18"/>
              </w:rPr>
              <w:t xml:space="preserve"> revenue loss per failure event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36E04" w14:textId="77777777" w:rsidR="00137889" w:rsidRDefault="00000000">
            <w:r>
              <w:rPr>
                <w:color w:val="222222"/>
                <w:sz w:val="18"/>
                <w:szCs w:val="18"/>
              </w:rPr>
              <w:t>Frame model ROI to leadership</w:t>
            </w:r>
          </w:p>
        </w:tc>
      </w:tr>
    </w:tbl>
    <w:p w14:paraId="27D36E06" w14:textId="77777777" w:rsidR="00137889" w:rsidRDefault="0013788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889" w14:paraId="27D36E09" w14:textId="77777777">
        <w:tblPrEx>
          <w:tblCellMar>
            <w:top w:w="0" w:type="dxa"/>
            <w:bottom w:w="0" w:type="dxa"/>
          </w:tblCellMar>
        </w:tblPrEx>
        <w:tc>
          <w:tcPr>
            <w:tcW w:w="9360" w:type="dxa"/>
            <w:tcBorders>
              <w:top w:val="single" w:sz="10" w:space="0" w:color="1E8449"/>
              <w:left w:val="single" w:sz="12" w:space="0" w:color="1E8449"/>
              <w:bottom w:val="single" w:sz="4" w:space="0" w:color="1E8449"/>
              <w:right w:val="single" w:sz="4" w:space="0" w:color="1E8449"/>
            </w:tcBorders>
            <w:shd w:val="clear" w:color="auto" w:fill="EEF6EE"/>
            <w:tcMar>
              <w:top w:w="100" w:type="dxa"/>
              <w:left w:w="160" w:type="dxa"/>
              <w:bottom w:w="100" w:type="dxa"/>
              <w:right w:w="160" w:type="dxa"/>
            </w:tcMar>
          </w:tcPr>
          <w:p w14:paraId="27D36E07" w14:textId="77777777" w:rsidR="00137889" w:rsidRDefault="00000000">
            <w:pPr>
              <w:spacing w:after="40"/>
            </w:pPr>
            <w:proofErr w:type="gramStart"/>
            <w:r>
              <w:rPr>
                <w:b/>
                <w:bCs/>
                <w:color w:val="1E8449"/>
              </w:rPr>
              <w:lastRenderedPageBreak/>
              <w:t>💡  Next</w:t>
            </w:r>
            <w:proofErr w:type="gramEnd"/>
            <w:r>
              <w:rPr>
                <w:b/>
                <w:bCs/>
                <w:color w:val="1E8449"/>
              </w:rPr>
              <w:t xml:space="preserve"> Step: Feature Engineering &amp; Model Development</w:t>
            </w:r>
          </w:p>
          <w:p w14:paraId="27D36E08" w14:textId="77777777" w:rsidR="00137889" w:rsidRDefault="00000000">
            <w:pPr>
              <w:jc w:val="both"/>
            </w:pPr>
            <w:r>
              <w:rPr>
                <w:color w:val="222222"/>
                <w:sz w:val="19"/>
                <w:szCs w:val="19"/>
              </w:rPr>
              <w:t xml:space="preserve">With EDA complete, the dataset is well-understood and ready for processing. The next phase will: (1) impute missing values, (2) </w:t>
            </w:r>
            <w:proofErr w:type="spellStart"/>
            <w:r>
              <w:rPr>
                <w:color w:val="222222"/>
                <w:sz w:val="19"/>
                <w:szCs w:val="19"/>
              </w:rPr>
              <w:t>normalise</w:t>
            </w:r>
            <w:proofErr w:type="spellEnd"/>
            <w:r>
              <w:rPr>
                <w:color w:val="222222"/>
                <w:sz w:val="19"/>
                <w:szCs w:val="19"/>
              </w:rPr>
              <w:t xml:space="preserve"> </w:t>
            </w:r>
            <w:proofErr w:type="spellStart"/>
            <w:r>
              <w:rPr>
                <w:color w:val="222222"/>
                <w:sz w:val="19"/>
                <w:szCs w:val="19"/>
              </w:rPr>
              <w:t>asset_type</w:t>
            </w:r>
            <w:proofErr w:type="spellEnd"/>
            <w:r>
              <w:rPr>
                <w:color w:val="222222"/>
                <w:sz w:val="19"/>
                <w:szCs w:val="19"/>
              </w:rPr>
              <w:t xml:space="preserve"> casing, (3) drop legacy columns, (4) apply SMOTE balancing, (5) engineer interaction features (health × </w:t>
            </w:r>
            <w:proofErr w:type="spellStart"/>
            <w:r>
              <w:rPr>
                <w:color w:val="222222"/>
                <w:sz w:val="19"/>
                <w:szCs w:val="19"/>
              </w:rPr>
              <w:t>storm_risk</w:t>
            </w:r>
            <w:proofErr w:type="spellEnd"/>
            <w:r>
              <w:rPr>
                <w:color w:val="222222"/>
                <w:sz w:val="19"/>
                <w:szCs w:val="19"/>
              </w:rPr>
              <w:t xml:space="preserve">, load × age), (6) train four classifiers (Logistic Regression, Random Forest, </w:t>
            </w:r>
            <w:proofErr w:type="spellStart"/>
            <w:r>
              <w:rPr>
                <w:color w:val="222222"/>
                <w:sz w:val="19"/>
                <w:szCs w:val="19"/>
              </w:rPr>
              <w:t>XGBoost</w:t>
            </w:r>
            <w:proofErr w:type="spellEnd"/>
            <w:r>
              <w:rPr>
                <w:color w:val="222222"/>
                <w:sz w:val="19"/>
                <w:szCs w:val="19"/>
              </w:rPr>
              <w:t xml:space="preserve">, </w:t>
            </w:r>
            <w:proofErr w:type="spellStart"/>
            <w:r>
              <w:rPr>
                <w:color w:val="222222"/>
                <w:sz w:val="19"/>
                <w:szCs w:val="19"/>
              </w:rPr>
              <w:t>LightGBM</w:t>
            </w:r>
            <w:proofErr w:type="spellEnd"/>
            <w:r>
              <w:rPr>
                <w:color w:val="222222"/>
                <w:sz w:val="19"/>
                <w:szCs w:val="19"/>
              </w:rPr>
              <w:t xml:space="preserve">), and (7) evaluate using Precision, Recall, F1-Score, and AUC-ROC with a focus on </w:t>
            </w:r>
            <w:proofErr w:type="spellStart"/>
            <w:r>
              <w:rPr>
                <w:color w:val="222222"/>
                <w:sz w:val="19"/>
                <w:szCs w:val="19"/>
              </w:rPr>
              <w:t>maximising</w:t>
            </w:r>
            <w:proofErr w:type="spellEnd"/>
            <w:r>
              <w:rPr>
                <w:color w:val="222222"/>
                <w:sz w:val="19"/>
                <w:szCs w:val="19"/>
              </w:rPr>
              <w:t xml:space="preserve"> Recall to </w:t>
            </w:r>
            <w:proofErr w:type="spellStart"/>
            <w:r>
              <w:rPr>
                <w:color w:val="222222"/>
                <w:sz w:val="19"/>
                <w:szCs w:val="19"/>
              </w:rPr>
              <w:t>minimise</w:t>
            </w:r>
            <w:proofErr w:type="spellEnd"/>
            <w:r>
              <w:rPr>
                <w:color w:val="222222"/>
                <w:sz w:val="19"/>
                <w:szCs w:val="19"/>
              </w:rPr>
              <w:t xml:space="preserve"> missed failures.</w:t>
            </w:r>
          </w:p>
        </w:tc>
      </w:tr>
    </w:tbl>
    <w:p w14:paraId="27D36E0A" w14:textId="77777777" w:rsidR="00137889" w:rsidRDefault="00137889">
      <w:pPr>
        <w:spacing w:after="80"/>
      </w:pPr>
    </w:p>
    <w:p w14:paraId="27D36E0B" w14:textId="77777777" w:rsidR="00137889" w:rsidRDefault="00000000">
      <w:pPr>
        <w:pBdr>
          <w:top w:val="single" w:sz="4" w:space="4" w:color="CCCCCC"/>
        </w:pBdr>
        <w:spacing w:before="80"/>
        <w:jc w:val="center"/>
      </w:pPr>
      <w:r>
        <w:rPr>
          <w:i/>
          <w:iCs/>
          <w:color w:val="888888"/>
          <w:sz w:val="16"/>
          <w:szCs w:val="16"/>
        </w:rPr>
        <w:t xml:space="preserve">EDA </w:t>
      </w:r>
      <w:proofErr w:type="gramStart"/>
      <w:r>
        <w:rPr>
          <w:i/>
          <w:iCs/>
          <w:color w:val="888888"/>
          <w:sz w:val="16"/>
          <w:szCs w:val="16"/>
        </w:rPr>
        <w:t>Report  |</w:t>
      </w:r>
      <w:proofErr w:type="gramEnd"/>
      <w:r>
        <w:rPr>
          <w:i/>
          <w:iCs/>
          <w:color w:val="888888"/>
          <w:sz w:val="16"/>
          <w:szCs w:val="16"/>
        </w:rPr>
        <w:t xml:space="preserve">  PowerGrid Utility </w:t>
      </w:r>
      <w:proofErr w:type="gramStart"/>
      <w:r>
        <w:rPr>
          <w:i/>
          <w:iCs/>
          <w:color w:val="888888"/>
          <w:sz w:val="16"/>
          <w:szCs w:val="16"/>
        </w:rPr>
        <w:t>Intelligence  |</w:t>
      </w:r>
      <w:proofErr w:type="gramEnd"/>
      <w:r>
        <w:rPr>
          <w:i/>
          <w:iCs/>
          <w:color w:val="888888"/>
          <w:sz w:val="16"/>
          <w:szCs w:val="16"/>
        </w:rPr>
        <w:t xml:space="preserve">  IITM–JARO Batch </w:t>
      </w:r>
      <w:proofErr w:type="gramStart"/>
      <w:r>
        <w:rPr>
          <w:i/>
          <w:iCs/>
          <w:color w:val="888888"/>
          <w:sz w:val="16"/>
          <w:szCs w:val="16"/>
        </w:rPr>
        <w:t>02  |</w:t>
      </w:r>
      <w:proofErr w:type="gramEnd"/>
      <w:r>
        <w:rPr>
          <w:i/>
          <w:iCs/>
          <w:color w:val="888888"/>
          <w:sz w:val="16"/>
          <w:szCs w:val="16"/>
        </w:rPr>
        <w:t xml:space="preserve">  Prof. </w:t>
      </w:r>
      <w:proofErr w:type="spellStart"/>
      <w:r>
        <w:rPr>
          <w:i/>
          <w:iCs/>
          <w:color w:val="888888"/>
          <w:sz w:val="16"/>
          <w:szCs w:val="16"/>
        </w:rPr>
        <w:t>Babji</w:t>
      </w:r>
      <w:proofErr w:type="spellEnd"/>
      <w:r>
        <w:rPr>
          <w:i/>
          <w:iCs/>
          <w:color w:val="888888"/>
          <w:sz w:val="16"/>
          <w:szCs w:val="16"/>
        </w:rPr>
        <w:t xml:space="preserve"> Srinivasan</w:t>
      </w:r>
    </w:p>
    <w:sectPr w:rsidR="00137889">
      <w:headerReference w:type="even" r:id="rId15"/>
      <w:headerReference w:type="default" r:id="rId16"/>
      <w:footerReference w:type="even" r:id="rId17"/>
      <w:footerReference w:type="default" r:id="rId18"/>
      <w:headerReference w:type="first" r:id="rId19"/>
      <w:footerReference w:type="first" r:id="rId2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D3B7" w14:textId="77777777" w:rsidR="001E3C6C" w:rsidRDefault="001E3C6C" w:rsidP="002603EC">
      <w:r>
        <w:separator/>
      </w:r>
    </w:p>
  </w:endnote>
  <w:endnote w:type="continuationSeparator" w:id="0">
    <w:p w14:paraId="3689A47B" w14:textId="77777777" w:rsidR="001E3C6C" w:rsidRDefault="001E3C6C" w:rsidP="00260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CC33" w14:textId="60FB9C78" w:rsidR="002603EC" w:rsidRDefault="002603EC">
    <w:pPr>
      <w:pStyle w:val="Footer"/>
    </w:pPr>
    <w:r>
      <w:rPr>
        <w:noProof/>
      </w:rPr>
      <mc:AlternateContent>
        <mc:Choice Requires="wps">
          <w:drawing>
            <wp:anchor distT="0" distB="0" distL="0" distR="0" simplePos="0" relativeHeight="251662336" behindDoc="0" locked="0" layoutInCell="1" allowOverlap="1" wp14:anchorId="2FAE9630" wp14:editId="1BD076F5">
              <wp:simplePos x="635" y="635"/>
              <wp:positionH relativeFrom="page">
                <wp:align>center</wp:align>
              </wp:positionH>
              <wp:positionV relativeFrom="page">
                <wp:align>bottom</wp:align>
              </wp:positionV>
              <wp:extent cx="1689100" cy="345440"/>
              <wp:effectExtent l="0" t="0" r="6350" b="0"/>
              <wp:wrapNone/>
              <wp:docPr id="2146909017"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0DC442F0" w14:textId="3D48AC88"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AE9630" id="_x0000_t202" coordsize="21600,21600" o:spt="202" path="m,l,21600r21600,l21600,xe">
              <v:stroke joinstyle="miter"/>
              <v:path gradientshapeok="t" o:connecttype="rect"/>
            </v:shapetype>
            <v:shape id="Text Box 5" o:spid="_x0000_s1028" type="#_x0000_t202" alt="For RealPage Internal Use Only" style="position:absolute;margin-left:0;margin-top:0;width:133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" filled="f" stroked="f">
              <v:fill o:detectmouseclick="t"/>
              <v:textbox style="mso-fit-shape-to-text:t" inset="0,0,0,15pt">
                <w:txbxContent>
                  <w:p w14:paraId="0DC442F0" w14:textId="3D48AC88"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C0E1" w14:textId="1D7EDB7B" w:rsidR="002603EC" w:rsidRDefault="002603EC">
    <w:pPr>
      <w:pStyle w:val="Footer"/>
    </w:pPr>
    <w:r>
      <w:rPr>
        <w:noProof/>
      </w:rPr>
      <mc:AlternateContent>
        <mc:Choice Requires="wps">
          <w:drawing>
            <wp:anchor distT="0" distB="0" distL="0" distR="0" simplePos="0" relativeHeight="251663360" behindDoc="0" locked="0" layoutInCell="1" allowOverlap="1" wp14:anchorId="26B6CC83" wp14:editId="11E2674E">
              <wp:simplePos x="635" y="635"/>
              <wp:positionH relativeFrom="page">
                <wp:align>center</wp:align>
              </wp:positionH>
              <wp:positionV relativeFrom="page">
                <wp:align>bottom</wp:align>
              </wp:positionV>
              <wp:extent cx="1689100" cy="345440"/>
              <wp:effectExtent l="0" t="0" r="6350" b="0"/>
              <wp:wrapNone/>
              <wp:docPr id="632768811"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76C01368" w14:textId="41B581DB"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B6CC83" id="_x0000_t202" coordsize="21600,21600" o:spt="202" path="m,l,21600r21600,l21600,xe">
              <v:stroke joinstyle="miter"/>
              <v:path gradientshapeok="t" o:connecttype="rect"/>
            </v:shapetype>
            <v:shape id="Text Box 6" o:spid="_x0000_s1029" type="#_x0000_t202" alt="For RealPage Internal Use Only" style="position:absolute;margin-left:0;margin-top:0;width:133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" filled="f" stroked="f">
              <v:fill o:detectmouseclick="t"/>
              <v:textbox style="mso-fit-shape-to-text:t" inset="0,0,0,15pt">
                <w:txbxContent>
                  <w:p w14:paraId="76C01368" w14:textId="41B581DB"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A9E0" w14:textId="4C1B2934" w:rsidR="002603EC" w:rsidRDefault="002603EC">
    <w:pPr>
      <w:pStyle w:val="Footer"/>
    </w:pPr>
    <w:r>
      <w:rPr>
        <w:noProof/>
      </w:rPr>
      <mc:AlternateContent>
        <mc:Choice Requires="wps">
          <w:drawing>
            <wp:anchor distT="0" distB="0" distL="0" distR="0" simplePos="0" relativeHeight="251661312" behindDoc="0" locked="0" layoutInCell="1" allowOverlap="1" wp14:anchorId="49088E4D" wp14:editId="2D45365E">
              <wp:simplePos x="635" y="635"/>
              <wp:positionH relativeFrom="page">
                <wp:align>center</wp:align>
              </wp:positionH>
              <wp:positionV relativeFrom="page">
                <wp:align>bottom</wp:align>
              </wp:positionV>
              <wp:extent cx="1689100" cy="345440"/>
              <wp:effectExtent l="0" t="0" r="6350" b="0"/>
              <wp:wrapNone/>
              <wp:docPr id="834955957"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014220A0" w14:textId="60EA4EDF"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088E4D" id="_x0000_t202" coordsize="21600,21600" o:spt="202" path="m,l,21600r21600,l21600,xe">
              <v:stroke joinstyle="miter"/>
              <v:path gradientshapeok="t" o:connecttype="rect"/>
            </v:shapetype>
            <v:shape id="Text Box 4" o:spid="_x0000_s1031" type="#_x0000_t202" alt="For RealPage Internal Use Only" style="position:absolute;margin-left:0;margin-top:0;width:133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" filled="f" stroked="f">
              <v:fill o:detectmouseclick="t"/>
              <v:textbox style="mso-fit-shape-to-text:t" inset="0,0,0,15pt">
                <w:txbxContent>
                  <w:p w14:paraId="014220A0" w14:textId="60EA4EDF" w:rsidR="002603EC" w:rsidRPr="002603EC" w:rsidRDefault="002603EC" w:rsidP="002603EC">
                    <w:pPr>
                      <w:rPr>
                        <w:rFonts w:ascii="Aptos" w:eastAsia="Aptos" w:hAnsi="Aptos" w:cs="Aptos"/>
                        <w:noProof/>
                        <w:color w:val="000000"/>
                      </w:rPr>
                    </w:pPr>
                    <w:r w:rsidRPr="002603EC">
                      <w:rPr>
                        <w:rFonts w:ascii="Aptos" w:eastAsia="Aptos" w:hAnsi="Aptos" w:cs="Aptos"/>
                        <w:noProof/>
                        <w:color w:val="00000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7330D" w14:textId="77777777" w:rsidR="001E3C6C" w:rsidRDefault="001E3C6C" w:rsidP="002603EC">
      <w:r>
        <w:separator/>
      </w:r>
    </w:p>
  </w:footnote>
  <w:footnote w:type="continuationSeparator" w:id="0">
    <w:p w14:paraId="6E08679F" w14:textId="77777777" w:rsidR="001E3C6C" w:rsidRDefault="001E3C6C" w:rsidP="00260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659C" w14:textId="3889EFD9" w:rsidR="002603EC" w:rsidRDefault="002603EC">
    <w:pPr>
      <w:pStyle w:val="Header"/>
    </w:pPr>
    <w:r>
      <w:rPr>
        <w:noProof/>
      </w:rPr>
      <mc:AlternateContent>
        <mc:Choice Requires="wps">
          <w:drawing>
            <wp:anchor distT="0" distB="0" distL="0" distR="0" simplePos="0" relativeHeight="251659264" behindDoc="0" locked="0" layoutInCell="1" allowOverlap="1" wp14:anchorId="1EC31DF8" wp14:editId="6F387DC4">
              <wp:simplePos x="635" y="635"/>
              <wp:positionH relativeFrom="page">
                <wp:align>center</wp:align>
              </wp:positionH>
              <wp:positionV relativeFrom="page">
                <wp:align>top</wp:align>
              </wp:positionV>
              <wp:extent cx="532130" cy="314325"/>
              <wp:effectExtent l="0" t="0" r="1270" b="9525"/>
              <wp:wrapNone/>
              <wp:docPr id="1827655776"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0C292EA3" w14:textId="22EECE13"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C31DF8" id="_x0000_t202" coordsize="21600,21600" o:spt="202" path="m,l,21600r21600,l21600,xe">
              <v:stroke joinstyle="miter"/>
              <v:path gradientshapeok="t" o:connecttype="rect"/>
            </v:shapetype>
            <v:shape id="Text Box 2" o:spid="_x0000_s1026" type="#_x0000_t202" alt="Internal Use" style="position:absolute;margin-left:0;margin-top:0;width:41.9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" filled="f" stroked="f">
              <v:fill o:detectmouseclick="t"/>
              <v:textbox style="mso-fit-shape-to-text:t" inset="0,15pt,0,0">
                <w:txbxContent>
                  <w:p w14:paraId="0C292EA3" w14:textId="22EECE13"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D58E" w14:textId="0C38A6CF" w:rsidR="002603EC" w:rsidRDefault="002603EC">
    <w:pPr>
      <w:pStyle w:val="Header"/>
    </w:pPr>
    <w:r>
      <w:rPr>
        <w:noProof/>
      </w:rPr>
      <mc:AlternateContent>
        <mc:Choice Requires="wps">
          <w:drawing>
            <wp:anchor distT="0" distB="0" distL="0" distR="0" simplePos="0" relativeHeight="251660288" behindDoc="0" locked="0" layoutInCell="1" allowOverlap="1" wp14:anchorId="74641A14" wp14:editId="7C49DFEB">
              <wp:simplePos x="635" y="635"/>
              <wp:positionH relativeFrom="page">
                <wp:align>center</wp:align>
              </wp:positionH>
              <wp:positionV relativeFrom="page">
                <wp:align>top</wp:align>
              </wp:positionV>
              <wp:extent cx="532130" cy="314325"/>
              <wp:effectExtent l="0" t="0" r="1270" b="9525"/>
              <wp:wrapNone/>
              <wp:docPr id="2007688715"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3427895E" w14:textId="6BCDAB65"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641A14" id="_x0000_t202" coordsize="21600,21600" o:spt="202" path="m,l,21600r21600,l21600,xe">
              <v:stroke joinstyle="miter"/>
              <v:path gradientshapeok="t" o:connecttype="rect"/>
            </v:shapetype>
            <v:shape id="Text Box 3" o:spid="_x0000_s1027" type="#_x0000_t202" alt="Internal Use" style="position:absolute;margin-left:0;margin-top:0;width:41.9pt;height:24.7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" filled="f" stroked="f">
              <v:fill o:detectmouseclick="t"/>
              <v:textbox style="mso-fit-shape-to-text:t" inset="0,15pt,0,0">
                <w:txbxContent>
                  <w:p w14:paraId="3427895E" w14:textId="6BCDAB65"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1E85" w14:textId="41480147" w:rsidR="002603EC" w:rsidRDefault="002603EC">
    <w:pPr>
      <w:pStyle w:val="Header"/>
    </w:pPr>
    <w:r>
      <w:rPr>
        <w:noProof/>
      </w:rPr>
      <mc:AlternateContent>
        <mc:Choice Requires="wps">
          <w:drawing>
            <wp:anchor distT="0" distB="0" distL="0" distR="0" simplePos="0" relativeHeight="251658240" behindDoc="0" locked="0" layoutInCell="1" allowOverlap="1" wp14:anchorId="0265DEAF" wp14:editId="3143A5D0">
              <wp:simplePos x="635" y="635"/>
              <wp:positionH relativeFrom="page">
                <wp:align>center</wp:align>
              </wp:positionH>
              <wp:positionV relativeFrom="page">
                <wp:align>top</wp:align>
              </wp:positionV>
              <wp:extent cx="532130" cy="314325"/>
              <wp:effectExtent l="0" t="0" r="1270" b="9525"/>
              <wp:wrapNone/>
              <wp:docPr id="398171196"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729812B7" w14:textId="4F12E141"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65DEAF" id="_x0000_t202" coordsize="21600,21600" o:spt="202" path="m,l,21600r21600,l21600,xe">
              <v:stroke joinstyle="miter"/>
              <v:path gradientshapeok="t" o:connecttype="rect"/>
            </v:shapetype>
            <v:shape id="Text Box 1" o:spid="_x0000_s1030" type="#_x0000_t202" alt="Internal Use" style="position:absolute;margin-left:0;margin-top:0;width:41.9pt;height:24.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" filled="f" stroked="f">
              <v:fill o:detectmouseclick="t"/>
              <v:textbox style="mso-fit-shape-to-text:t" inset="0,15pt,0,0">
                <w:txbxContent>
                  <w:p w14:paraId="729812B7" w14:textId="4F12E141" w:rsidR="002603EC" w:rsidRPr="002603EC" w:rsidRDefault="002603EC" w:rsidP="002603EC">
                    <w:pPr>
                      <w:rPr>
                        <w:rFonts w:ascii="Aptos" w:eastAsia="Aptos" w:hAnsi="Aptos" w:cs="Aptos"/>
                        <w:noProof/>
                        <w:color w:val="000000"/>
                        <w:sz w:val="16"/>
                        <w:szCs w:val="16"/>
                      </w:rPr>
                    </w:pPr>
                    <w:r w:rsidRPr="002603EC">
                      <w:rPr>
                        <w:rFonts w:ascii="Aptos" w:eastAsia="Aptos" w:hAnsi="Apto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2173E"/>
    <w:multiLevelType w:val="hybridMultilevel"/>
    <w:tmpl w:val="D9BE0DD8"/>
    <w:lvl w:ilvl="0" w:tplc="723AB642">
      <w:start w:val="1"/>
      <w:numFmt w:val="bullet"/>
      <w:lvlText w:val="•"/>
      <w:lvlJc w:val="left"/>
      <w:pPr>
        <w:ind w:left="540" w:hanging="270"/>
      </w:pPr>
    </w:lvl>
    <w:lvl w:ilvl="1" w:tplc="A8C07ABE">
      <w:numFmt w:val="decimal"/>
      <w:lvlText w:val=""/>
      <w:lvlJc w:val="left"/>
    </w:lvl>
    <w:lvl w:ilvl="2" w:tplc="44EECF4E">
      <w:numFmt w:val="decimal"/>
      <w:lvlText w:val=""/>
      <w:lvlJc w:val="left"/>
    </w:lvl>
    <w:lvl w:ilvl="3" w:tplc="8326D35E">
      <w:numFmt w:val="decimal"/>
      <w:lvlText w:val=""/>
      <w:lvlJc w:val="left"/>
    </w:lvl>
    <w:lvl w:ilvl="4" w:tplc="4184C0C8">
      <w:numFmt w:val="decimal"/>
      <w:lvlText w:val=""/>
      <w:lvlJc w:val="left"/>
    </w:lvl>
    <w:lvl w:ilvl="5" w:tplc="4E1E4566">
      <w:numFmt w:val="decimal"/>
      <w:lvlText w:val=""/>
      <w:lvlJc w:val="left"/>
    </w:lvl>
    <w:lvl w:ilvl="6" w:tplc="E0B8B7AC">
      <w:numFmt w:val="decimal"/>
      <w:lvlText w:val=""/>
      <w:lvlJc w:val="left"/>
    </w:lvl>
    <w:lvl w:ilvl="7" w:tplc="BF92E65A">
      <w:numFmt w:val="decimal"/>
      <w:lvlText w:val=""/>
      <w:lvlJc w:val="left"/>
    </w:lvl>
    <w:lvl w:ilvl="8" w:tplc="A8F2FF58">
      <w:numFmt w:val="decimal"/>
      <w:lvlText w:val=""/>
      <w:lvlJc w:val="left"/>
    </w:lvl>
  </w:abstractNum>
  <w:abstractNum w:abstractNumId="1" w15:restartNumberingAfterBreak="0">
    <w:nsid w:val="750E787F"/>
    <w:multiLevelType w:val="hybridMultilevel"/>
    <w:tmpl w:val="01AEBCA0"/>
    <w:lvl w:ilvl="0" w:tplc="C066965A">
      <w:start w:val="1"/>
      <w:numFmt w:val="bullet"/>
      <w:lvlText w:val="●"/>
      <w:lvlJc w:val="left"/>
      <w:pPr>
        <w:ind w:left="720" w:hanging="360"/>
      </w:pPr>
    </w:lvl>
    <w:lvl w:ilvl="1" w:tplc="6D1891D6">
      <w:start w:val="1"/>
      <w:numFmt w:val="bullet"/>
      <w:lvlText w:val="○"/>
      <w:lvlJc w:val="left"/>
      <w:pPr>
        <w:ind w:left="1440" w:hanging="360"/>
      </w:pPr>
    </w:lvl>
    <w:lvl w:ilvl="2" w:tplc="2974C266">
      <w:start w:val="1"/>
      <w:numFmt w:val="bullet"/>
      <w:lvlText w:val="■"/>
      <w:lvlJc w:val="left"/>
      <w:pPr>
        <w:ind w:left="2160" w:hanging="360"/>
      </w:pPr>
    </w:lvl>
    <w:lvl w:ilvl="3" w:tplc="559229E2">
      <w:start w:val="1"/>
      <w:numFmt w:val="bullet"/>
      <w:lvlText w:val="●"/>
      <w:lvlJc w:val="left"/>
      <w:pPr>
        <w:ind w:left="2880" w:hanging="360"/>
      </w:pPr>
    </w:lvl>
    <w:lvl w:ilvl="4" w:tplc="1B5C0C74">
      <w:start w:val="1"/>
      <w:numFmt w:val="bullet"/>
      <w:lvlText w:val="○"/>
      <w:lvlJc w:val="left"/>
      <w:pPr>
        <w:ind w:left="3600" w:hanging="360"/>
      </w:pPr>
    </w:lvl>
    <w:lvl w:ilvl="5" w:tplc="2780BF26">
      <w:start w:val="1"/>
      <w:numFmt w:val="bullet"/>
      <w:lvlText w:val="■"/>
      <w:lvlJc w:val="left"/>
      <w:pPr>
        <w:ind w:left="4320" w:hanging="360"/>
      </w:pPr>
    </w:lvl>
    <w:lvl w:ilvl="6" w:tplc="C0E241A0">
      <w:start w:val="1"/>
      <w:numFmt w:val="bullet"/>
      <w:lvlText w:val="●"/>
      <w:lvlJc w:val="left"/>
      <w:pPr>
        <w:ind w:left="5040" w:hanging="360"/>
      </w:pPr>
    </w:lvl>
    <w:lvl w:ilvl="7" w:tplc="11F8ABF4">
      <w:start w:val="1"/>
      <w:numFmt w:val="bullet"/>
      <w:lvlText w:val="●"/>
      <w:lvlJc w:val="left"/>
      <w:pPr>
        <w:ind w:left="5760" w:hanging="360"/>
      </w:pPr>
    </w:lvl>
    <w:lvl w:ilvl="8" w:tplc="63680942">
      <w:start w:val="1"/>
      <w:numFmt w:val="bullet"/>
      <w:lvlText w:val="●"/>
      <w:lvlJc w:val="left"/>
      <w:pPr>
        <w:ind w:left="6480" w:hanging="360"/>
      </w:pPr>
    </w:lvl>
  </w:abstractNum>
  <w:num w:numId="1" w16cid:durableId="72508033">
    <w:abstractNumId w:val="1"/>
    <w:lvlOverride w:ilvl="0">
      <w:startOverride w:val="1"/>
    </w:lvlOverride>
  </w:num>
  <w:num w:numId="2" w16cid:durableId="865368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889"/>
    <w:rsid w:val="00137889"/>
    <w:rsid w:val="001E3C6C"/>
    <w:rsid w:val="002603EC"/>
    <w:rsid w:val="004A19FE"/>
    <w:rsid w:val="00E151D2"/>
    <w:rsid w:val="00F0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6D2B"/>
  <w15:docId w15:val="{8CF1EF9A-A43C-445A-B9D6-97D8F6BF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03EC"/>
    <w:pPr>
      <w:tabs>
        <w:tab w:val="center" w:pos="4680"/>
        <w:tab w:val="right" w:pos="9360"/>
      </w:tabs>
    </w:pPr>
  </w:style>
  <w:style w:type="character" w:customStyle="1" w:styleId="HeaderChar">
    <w:name w:val="Header Char"/>
    <w:basedOn w:val="DefaultParagraphFont"/>
    <w:link w:val="Header"/>
    <w:uiPriority w:val="99"/>
    <w:rsid w:val="002603EC"/>
  </w:style>
  <w:style w:type="paragraph" w:styleId="Footer">
    <w:name w:val="footer"/>
    <w:basedOn w:val="Normal"/>
    <w:link w:val="FooterChar"/>
    <w:uiPriority w:val="99"/>
    <w:unhideWhenUsed/>
    <w:rsid w:val="002603EC"/>
    <w:pPr>
      <w:tabs>
        <w:tab w:val="center" w:pos="4680"/>
        <w:tab w:val="right" w:pos="9360"/>
      </w:tabs>
    </w:pPr>
  </w:style>
  <w:style w:type="character" w:customStyle="1" w:styleId="FooterChar">
    <w:name w:val="Footer Char"/>
    <w:basedOn w:val="DefaultParagraphFont"/>
    <w:link w:val="Footer"/>
    <w:uiPriority w:val="99"/>
    <w:rsid w:val="00260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2450</Words>
  <Characters>14947</Characters>
  <Application>Microsoft Office Word</Application>
  <DocSecurity>0</DocSecurity>
  <Lines>298</Lines>
  <Paragraphs>162</Paragraphs>
  <ScaleCrop>false</ScaleCrop>
  <Company>RealPage</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Rajani Kalimikonda</cp:lastModifiedBy>
  <cp:revision>4</cp:revision>
  <dcterms:created xsi:type="dcterms:W3CDTF">2026-06-23T09:27:00Z</dcterms:created>
  <dcterms:modified xsi:type="dcterms:W3CDTF">2026-06-23T10:24:00Z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17bb9c3c,6cefd060,77aae60b</vt:lpwstr>
  </property>
  <property fmtid="{D5CDD505-2E9C-101B-9397-08002B2CF9AE}" pid="3" name="ClassificationContentMarkingHeaderFontProps">
    <vt:lpwstr>#000000,8,Aptos</vt:lpwstr>
  </property>
  <property fmtid="{D5CDD505-2E9C-101B-9397-08002B2CF9AE}" pid="4" name="ClassificationContentMarkingHeaderText">
    <vt:lpwstr>Internal Use</vt:lpwstr>
  </property>
  <property fmtid="{D5CDD505-2E9C-101B-9397-08002B2CF9AE}" pid="5" name="ClassificationContentMarkingFooterShapeIds">
    <vt:lpwstr>31c46ab5,7ff73b59,25b7492b</vt:lpwstr>
  </property>
  <property fmtid="{D5CDD505-2E9C-101B-9397-08002B2CF9AE}" pid="6" name="ClassificationContentMarkingFooterFontProps">
    <vt:lpwstr>#000000,10,Aptos</vt:lpwstr>
  </property>
  <property fmtid="{D5CDD505-2E9C-101B-9397-08002B2CF9AE}" pid="7" name="ClassificationContentMarkingFooterText">
    <vt:lpwstr>For RealPage Internal Use Only</vt:lpwstr>
  </property>
</Properties>
</file>