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7"/>
          <w:szCs w:val="27"/>
          <w:rtl w:val="0"/>
        </w:rPr>
        <w:t xml:space="preserve">Data Quality Assessment</w:t>
      </w:r>
      <w:r w:rsidDel="00000000" w:rsidR="00000000" w:rsidRPr="00000000">
        <w:rPr>
          <w:b w:val="1"/>
          <w:sz w:val="29"/>
          <w:szCs w:val="29"/>
          <w:rtl w:val="0"/>
        </w:rPr>
        <w:t xml:space="preserve"> - </w:t>
      </w:r>
      <w:r w:rsidDel="00000000" w:rsidR="00000000" w:rsidRPr="00000000">
        <w:rPr>
          <w:sz w:val="25"/>
          <w:szCs w:val="25"/>
          <w:rtl w:val="0"/>
        </w:rPr>
        <w:t xml:space="preserve">Assessment of data quality and completeness in preparation for analysis.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lineRule="auto"/>
        <w:rPr>
          <w:color w:val="333333"/>
          <w:sz w:val="23"/>
          <w:szCs w:val="23"/>
          <w:shd w:fill="f4f4f4" w:val="clear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Start with the preliminary data exploration and identify ways to improve the quality of data.</w:t>
      </w:r>
      <w:r w:rsidDel="00000000" w:rsidR="00000000" w:rsidRPr="00000000">
        <w:rPr>
          <w:color w:val="333333"/>
          <w:sz w:val="23"/>
          <w:szCs w:val="23"/>
          <w:shd w:fill="f4f4f4" w:val="clear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Assess the quality of their data; as well as make recommendations on ways to clean the underlying data and mitigate these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Datasets provided: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4f4f4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Customer Demographic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4f4f4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Customer Addresses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4f4f4" w:val="clear"/>
        <w:spacing w:after="1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Transactions data in the past 3 months</w:t>
      </w:r>
    </w:p>
    <w:p w:rsidR="00000000" w:rsidDel="00000000" w:rsidP="00000000" w:rsidRDefault="00000000" w:rsidRPr="00000000" w14:paraId="0000000A">
      <w:pPr>
        <w:spacing w:after="30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Rule="auto"/>
        <w:rPr>
          <w:color w:val="333333"/>
          <w:sz w:val="29"/>
          <w:szCs w:val="29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Data Quality Framework Table :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Below is a list of the Data Quality dimensions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400050</wp:posOffset>
            </wp:positionV>
            <wp:extent cx="2909888" cy="382777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8277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300" w:lineRule="auto"/>
        <w:rPr>
          <w:color w:val="333333"/>
          <w:sz w:val="23"/>
          <w:szCs w:val="23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Rule="auto"/>
        <w:rPr>
          <w:color w:val="333333"/>
          <w:sz w:val="23"/>
          <w:szCs w:val="23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Rule="auto"/>
        <w:rPr>
          <w:color w:val="333333"/>
          <w:sz w:val="23"/>
          <w:szCs w:val="23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lineRule="auto"/>
        <w:rPr>
          <w:color w:val="333333"/>
          <w:sz w:val="23"/>
          <w:szCs w:val="23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Data Insights : </w:t>
      </w:r>
      <w:r w:rsidDel="00000000" w:rsidR="00000000" w:rsidRPr="00000000">
        <w:rPr>
          <w:sz w:val="23"/>
          <w:szCs w:val="23"/>
          <w:rtl w:val="0"/>
        </w:rPr>
        <w:t xml:space="preserve">Targeting high value customers based on customer demographics and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Analysing their existing customer dataset to determine customer trends and behaviour. And which of these 1000 new customers should be targeted to drive the most value for the organisation. </w:t>
      </w:r>
    </w:p>
    <w:p w:rsidR="00000000" w:rsidDel="00000000" w:rsidP="00000000" w:rsidRDefault="00000000" w:rsidRPr="00000000" w14:paraId="0000002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Prepare a detailed approach for completing the analysis including activities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detailed approach for completing the analysis including activities – i.e. understanding the data distributions, feature engineering, data transformations, modelling, results interpretation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7mrmm2qb1wd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160" w:before="300" w:line="280" w:lineRule="auto"/>
        <w:rPr>
          <w:b w:val="1"/>
          <w:sz w:val="45"/>
          <w:szCs w:val="45"/>
        </w:rPr>
      </w:pPr>
      <w:bookmarkStart w:colFirst="0" w:colLast="0" w:name="_snw2qwjr1h5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