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TradeLab — Web App UI Specification</w:t>
      </w:r>
    </w:p>
    <w:p>
      <w:r>
        <w:t>Companion specification for Trading Strategy &amp; Indicator Validation BRD. Visual direction: professional trading terminal with dark and light themes, responsive layout, strong risk visibility, and persistent paper-trading disclaimers.</w:t>
      </w:r>
    </w:p>
    <w:p>
      <w:pPr>
        <w:pStyle w:val="Heading1"/>
      </w:pPr>
      <w:r>
        <w:t>1. Information Architecture</w:t>
      </w:r>
    </w:p>
    <w:p>
      <w:pPr>
        <w:pStyle w:val="ListBullet"/>
      </w:pPr>
      <w:r>
        <w:t>Overview dashboard</w:t>
      </w:r>
    </w:p>
    <w:p>
      <w:pPr>
        <w:pStyle w:val="ListBullet"/>
      </w:pPr>
      <w:r>
        <w:t>New Trade / Trade Details</w:t>
      </w:r>
    </w:p>
    <w:p>
      <w:pPr>
        <w:pStyle w:val="ListBullet"/>
      </w:pPr>
      <w:r>
        <w:t>Trade Journal</w:t>
      </w:r>
    </w:p>
    <w:p>
      <w:pPr>
        <w:pStyle w:val="ListBullet"/>
      </w:pPr>
      <w:r>
        <w:t>TSL Lab</w:t>
      </w:r>
    </w:p>
    <w:p>
      <w:pPr>
        <w:pStyle w:val="ListBullet"/>
      </w:pPr>
      <w:r>
        <w:t>Strategy &amp; Indicator Lab</w:t>
      </w:r>
    </w:p>
    <w:p>
      <w:pPr>
        <w:pStyle w:val="ListBullet"/>
      </w:pPr>
      <w:r>
        <w:t>Reports / Export</w:t>
      </w:r>
    </w:p>
    <w:p>
      <w:pPr>
        <w:pStyle w:val="ListBullet"/>
      </w:pPr>
      <w:r>
        <w:t>Settings</w:t>
      </w:r>
    </w:p>
    <w:p>
      <w:pPr>
        <w:pStyle w:val="Heading1"/>
      </w:pPr>
      <w:r>
        <w:t>2. Visual System</w:t>
      </w:r>
    </w:p>
    <w:p>
      <w:r>
        <w:t>Dark theme: deep navy background (#0B1220), layered panels (#121C2D / #172338), teal accent (#37D6C0), blue secondary accent (#6EA8FE), muted slate text. Light theme: cool near-white background, white cards, dark navy text, teal accent. Positive/negative outcomes use green/red but are always paired with labels and signs.</w:t>
      </w:r>
    </w:p>
    <w:p>
      <w:pPr>
        <w:pStyle w:val="Heading1"/>
      </w:pPr>
      <w:r>
        <w:t>3. Overview Dashboard</w:t>
      </w:r>
    </w:p>
    <w:p>
      <w:pPr>
        <w:pStyle w:val="ListBullet"/>
      </w:pPr>
      <w:r>
        <w:t>Top bar: page title, date-range selector, theme toggle, quick action to log a trade.</w:t>
      </w:r>
    </w:p>
    <w:p>
      <w:pPr>
        <w:pStyle w:val="ListBullet"/>
      </w:pPr>
      <w:r>
        <w:t>Persistent warning banner: PAPER TRADING — SIMULATED RESULTS ONLY.</w:t>
      </w:r>
    </w:p>
    <w:p>
      <w:pPr>
        <w:pStyle w:val="ListBullet"/>
      </w:pPr>
      <w:r>
        <w:t>KPI cards: virtual equity, net P&amp;L, trades used today / 5, win rate, expectancy (R), profit factor, T1 hit rate, TSL exits.</w:t>
      </w:r>
    </w:p>
    <w:p>
      <w:pPr>
        <w:pStyle w:val="ListBullet"/>
      </w:pPr>
      <w:r>
        <w:t>Charts: cumulative P&amp;L/equity curve, drawdown, daily P&amp;L, outcome mix, target hit distribution.</w:t>
      </w:r>
    </w:p>
    <w:p>
      <w:pPr>
        <w:pStyle w:val="ListBullet"/>
      </w:pPr>
      <w:r>
        <w:t>Tables: recent trades, open paper positions, rule compliance and missing reviews.</w:t>
      </w:r>
    </w:p>
    <w:p>
      <w:pPr>
        <w:pStyle w:val="Heading1"/>
      </w:pPr>
      <w:r>
        <w:t>4. New Trade Form</w:t>
      </w:r>
    </w:p>
    <w:p>
      <w:r>
        <w:t>Sections: Setup; Entry &amp; Risk; Targets; TSL rules; Indicator evidence; Trade rationale. Responsive 3-column desktop layout collapses to one column on mobile.</w:t>
      </w:r>
    </w:p>
    <w:p>
      <w:pPr>
        <w:pStyle w:val="ListBullet"/>
      </w:pPr>
      <w:r>
        <w:t>Mandatory fields: date, market type, instrument, direction, entry, initial SL, quantity, strategy/setup.</w:t>
      </w:r>
    </w:p>
    <w:p>
      <w:pPr>
        <w:pStyle w:val="ListBullet"/>
      </w:pPr>
      <w:r>
        <w:t>Optional fields: T1/T2/T3, timeframe, indicator values, screenshot/reference, notes, TSL mode and trail parameters.</w:t>
      </w:r>
    </w:p>
    <w:p>
      <w:pPr>
        <w:pStyle w:val="ListBullet"/>
      </w:pPr>
      <w:r>
        <w:t>Live calculations: risk budget, initial risk, position size guidance, planned R:R and warnings.</w:t>
      </w:r>
    </w:p>
    <w:p>
      <w:pPr>
        <w:pStyle w:val="ListBullet"/>
      </w:pPr>
      <w:r>
        <w:t>Validation: SL must be on the loss side of entry; risk budget breaches warn/block; fifth trade is allowed but sixth is blocked by default; daily loss limit lockout in production.</w:t>
      </w:r>
    </w:p>
    <w:p>
      <w:pPr>
        <w:pStyle w:val="Heading1"/>
      </w:pPr>
      <w:r>
        <w:t>5. Trade Journal</w:t>
      </w:r>
    </w:p>
    <w:p>
      <w:r>
        <w:t>Filter by date, market, instrument, strategy, indicator, direction, exit type, target hit and rule adherence. Table columns: ID, date/time, symbol, direction, setup, entry, initial SL, targets, quantity, exit, net P&amp;L, R multiple, exit reason, TSL mode, review status. Selecting a row opens a detail panel with all stop changes and partial exits.</w:t>
      </w:r>
    </w:p>
    <w:p>
      <w:pPr>
        <w:pStyle w:val="Heading1"/>
      </w:pPr>
      <w:r>
        <w:t>6. TSL Lab</w:t>
      </w:r>
    </w:p>
    <w:p>
      <w:r>
        <w:t>Compare fixed SL, breakeven, step trail and distance/ATR-style trail against the same trades and identical assumptions. Metrics: net P&amp;L, expectancy (R), max drawdown, profit factor, early exit rate, T1/T2/T3 capture and number of trails that exited before a later target. Unknown intrabar order must be labelled ambiguous.</w:t>
      </w:r>
    </w:p>
    <w:p>
      <w:pPr>
        <w:pStyle w:val="Heading1"/>
      </w:pPr>
      <w:r>
        <w:t>7. Settings</w:t>
      </w:r>
    </w:p>
    <w:p>
      <w:r>
        <w:t>Editable: starting capital (default ₹10,00,000), max entries/day (5), risk/trade %, daily loss limit %, max open positions, minimum planned R:R, costs, slippage, target R levels, lot/contract multiplier defaults, timezone and session reset.</w:t>
      </w:r>
    </w:p>
    <w:p>
      <w:pPr>
        <w:pStyle w:val="Heading1"/>
      </w:pPr>
      <w:r>
        <w:t>8. Production Readiness Notes</w:t>
      </w:r>
    </w:p>
    <w:p>
      <w:pPr>
        <w:pStyle w:val="ListBullet"/>
      </w:pPr>
      <w:r>
        <w:t>Prototype HTML demonstrates visual direction and front-end interactions only; it is not production storage.</w:t>
      </w:r>
    </w:p>
    <w:p>
      <w:pPr>
        <w:pStyle w:val="ListBullet"/>
      </w:pPr>
      <w:r>
        <w:t>Production must persist data securely, authenticate users, validate risk rules server-side, record audit history, support export/backup and handle timezone/session boundaries.</w:t>
      </w:r>
    </w:p>
    <w:p>
      <w:pPr>
        <w:pStyle w:val="ListBullet"/>
      </w:pPr>
      <w:r>
        <w:t>Use a consistent calculation engine for long/short, partial exits, lot multipliers, fees, slippage, open P&amp;L, and daily lockout.</w:t>
      </w:r>
    </w:p>
    <w:p>
      <w:pPr>
        <w:pStyle w:val="ListBullet"/>
      </w:pPr>
      <w:r>
        <w:t>Do not claim the TSL method or indicator is best until tested on a sufficiently large, representative sample with realistic costs and out-of-sample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