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5E96"/>
        </w:rPr>
        <w:t>GOD'S EYE – THE OBSERVER</w:t>
      </w:r>
    </w:p>
    <w:p>
      <w:pPr>
        <w:pStyle w:val="Title"/>
        <w:jc w:val="center"/>
      </w:pPr>
      <w:r>
        <w:t>Updated BRD v0.3 – Pre-Market Forecasting</w:t>
      </w:r>
    </w:p>
    <w:p>
      <w:pPr>
        <w:jc w:val="center"/>
      </w:pPr>
      <w:r>
        <w:rPr>
          <w:i/>
          <w:sz w:val="20"/>
        </w:rPr>
        <w:t>Platform: Web + Mobile | Purpose: Market analysis | Audience: Personal use</w:t>
      </w:r>
    </w:p>
    <w:p>
      <w:pPr>
        <w:pStyle w:val="Heading1"/>
      </w:pPr>
      <w:r>
        <w:t>1. Document status and product decision</w:t>
      </w:r>
    </w:p>
    <w:p>
      <w:r>
        <w:t>This update extends the screenshot-based BRD with a dedicated pre-market forecasting module. It is a design specification, not a description of a verified existing implementation. Market-data provider, instrument mapping, exact metric definitions and signal formulas remain to be approved.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Current scope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Platforms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Responsive web + mobile experience; exact mobile delivery approach (native/cross-platform/PWA) remains open.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Audience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Personal use initially.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Market analysis and forecast signals; no broker integration or trade execution in MVP.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Output style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Signal-first cards, with concise evidence, horizon, freshness, uncertainty and invalidation rules.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Forecast coverage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Pre-market outlook plus intraday refresh where reliable data is available.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Market data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Provider unknown; provider selection, data rights, delay and history depth are release dependencies.</w:t>
            </w:r>
          </w:p>
        </w:tc>
      </w:tr>
    </w:tbl>
    <w:p/>
    <w:p>
      <w:pPr>
        <w:pStyle w:val="Heading1"/>
      </w:pPr>
      <w:r>
        <w:t>2. Product objective</w:t>
      </w:r>
    </w:p>
    <w:p>
      <w:r>
        <w:t>Provide a structured view of possible market conditions before a defined target period begins, then evaluate the forecast against what actually happened. The product must not claim to know everything that will happen or guarantee direction, price levels or returns.</w:t>
      </w:r>
    </w:p>
    <w:p>
      <w:pPr>
        <w:pStyle w:val="Heading1"/>
      </w:pPr>
      <w:r>
        <w:t>3. Module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Primary output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Pre-market data snapshot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Collect the latest permitted overnight, prior-session and pre-market inputs available before forecast cutoff.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Timestamped and quality-checked input snapshot.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Feature and indicator pipeline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Calculate documented technical and contextual features using only information available at forecast time.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Versioned feature set.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Signal engine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Generate directional state and supporting reasons using an approved baseline/model.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Bullish / Bearish / Neutral / No Signal.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Volatility estimator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Estimate relative volatility regime against an approved historical baseline.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Low / Normal / High / Unavailable.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Signal guardrails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Suppress, downgrade or expire signals when data is stale, contradictory, insufficient or model health fails.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Valid signal or explicit no-signal state.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Forecast ledger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Persist each issued forecast, timestamp, horizon, data references and model/rule version.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Immutable forecast record for later scoring.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Evaluation pipeline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Compare forecasts to realized outcomes on chronological out-of-sample data.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Calibration and performance report.</w:t>
            </w:r>
          </w:p>
        </w:tc>
      </w:tr>
    </w:tbl>
    <w:p/>
    <w:p>
      <w:pPr>
        <w:pStyle w:val="Heading1"/>
      </w:pPr>
      <w:r>
        <w:t>4. User flow</w:t>
      </w:r>
    </w:p>
    <w:p>
      <w:pPr>
        <w:pStyle w:val="ListNumber"/>
      </w:pPr>
      <w:r>
        <w:t>At a configured cutoff before the target session, the scheduler gathers available data and records the cutoff time.</w:t>
      </w:r>
    </w:p>
    <w:p>
      <w:pPr>
        <w:pStyle w:val="ListNumber"/>
      </w:pPr>
      <w:r>
        <w:t>Data validation checks source timestamps, completeness, duplicates, gaps, symbol mapping and market-session context.</w:t>
      </w:r>
    </w:p>
    <w:p>
      <w:pPr>
        <w:pStyle w:val="ListNumber"/>
      </w:pPr>
      <w:r>
        <w:t>The feature pipeline computes only features that were observable at the forecast timestamp.</w:t>
      </w:r>
    </w:p>
    <w:p>
      <w:pPr>
        <w:pStyle w:val="ListNumber"/>
      </w:pPr>
      <w:r>
        <w:t>The signal engine calculates the approved direction, strength category, volatility outlook and supporting drivers.</w:t>
      </w:r>
    </w:p>
    <w:p>
      <w:pPr>
        <w:pStyle w:val="ListNumber"/>
      </w:pPr>
      <w:r>
        <w:t>Guardrails evaluate data freshness, minimum history, provider health, model version and conflicting-input rules.</w:t>
      </w:r>
    </w:p>
    <w:p>
      <w:pPr>
        <w:pStyle w:val="ListNumber"/>
      </w:pPr>
      <w:r>
        <w:t>If all required gates pass, a signal is published; otherwise, the UI shows 'No signal' with a reason.</w:t>
      </w:r>
    </w:p>
    <w:p>
      <w:pPr>
        <w:pStyle w:val="ListNumber"/>
      </w:pPr>
      <w:r>
        <w:t>The original forecast is stored with immutable timestamps and model/rule version.</w:t>
      </w:r>
    </w:p>
    <w:p>
      <w:pPr>
        <w:pStyle w:val="ListNumber"/>
      </w:pPr>
      <w:r>
        <w:t>After the horizon ends, the evaluator labels the realized outcome and updates aggregate performance reports without altering the original forecast.</w:t>
      </w:r>
    </w:p>
    <w:p>
      <w:pPr>
        <w:pStyle w:val="Heading1"/>
      </w:pPr>
      <w:r>
        <w:t>5. Signal card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Instrument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Canonical symbol, display name, exchange/venue and instrument type.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Direction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Bullish, Bearish, Neutral, or No Signal. Exact enum and definitions must be approved.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Signal strength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Weak / Moderate / Strong only if these bands are defined by a reproducible method and validated; otherwise omit.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Signal horizon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Mandatory: e.g. next session or close-to-close. Avoid horizon-free predictions.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Volatility outlook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Relative to a defined historical baseline and horizon; otherwise show unavailable.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Drivers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Short, traceable reasons linked to actual features/data available at forecast time.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Invalidation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Conditions under which the signal expires or becomes invalid; must be deterministic.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Fresh/stale/partial/unavailable status, with source timestamp and timezone.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Forecast timestamp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When the forecast was actually generated, distinct from the market-data timestamp.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Model/rule version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Identifier for reproducibility and audit.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Probability (optional)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Only show if the outcome is explicitly defined and the model is calibrated on suitable out-of-sample data.</w:t>
            </w:r>
          </w:p>
        </w:tc>
      </w:tr>
    </w:tbl>
    <w:p/>
    <w:p>
      <w:pPr>
        <w:pStyle w:val="Heading1"/>
      </w:pPr>
      <w:r>
        <w:t>6. Proposed model methodology</w:t>
      </w:r>
    </w:p>
    <w:p>
      <w:r>
        <w:t>Use a staged approach rather than starting with a complex black-box model. No specific strategy is assumed to be profitable.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Purpose / gate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M0 – Transparent baseline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Historical base rate and simple rule-based trend/momentum baseline.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Establish a reference that any advanced method must beat.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M1 – Technical signal baseline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Approved trend, momentum, volatility, breadth and divergence features with explicit thresholds.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Easy to inspect and reproduce; only use features available at cutoff.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M2 – Probabilistic model (optional)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Calibrated statistical model or ML classifier for defined outcomes and horizons.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Adopt only if chronological out-of-sample evaluation improves on baseline and remains stable.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M3 – Regime-aware ensemble (later)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Combine validated models/regime signals with explicit weighting and abstention rules.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Only after sufficient independent data and monitoring capability exist.</w:t>
            </w:r>
          </w:p>
        </w:tc>
      </w:tr>
    </w:tbl>
    <w:p/>
    <w:p>
      <w:pPr>
        <w:pStyle w:val="Heading2"/>
      </w:pPr>
      <w:r>
        <w:t>6.1 Candidate input features (not yet approved)</w:t>
      </w:r>
    </w:p>
    <w:p>
      <w:pPr>
        <w:pStyle w:val="ListBullet"/>
      </w:pPr>
      <w:r>
        <w:t>Prior-session OHLCV, returns, gaps, range and close location.</w:t>
      </w:r>
    </w:p>
    <w:p>
      <w:pPr>
        <w:pStyle w:val="ListBullet"/>
      </w:pPr>
      <w:r>
        <w:t>Overnight global-market returns and relevant futures/indices where a reliable, licensed feed exists.</w:t>
      </w:r>
    </w:p>
    <w:p>
      <w:pPr>
        <w:pStyle w:val="ListBullet"/>
      </w:pPr>
      <w:r>
        <w:t>Pre-market price/volume or auction data only if available and permitted for the instrument.</w:t>
      </w:r>
    </w:p>
    <w:p>
      <w:pPr>
        <w:pStyle w:val="ListBullet"/>
      </w:pPr>
      <w:r>
        <w:t>Volatility measures and recent realized-volatility regime.</w:t>
      </w:r>
    </w:p>
    <w:p>
      <w:pPr>
        <w:pStyle w:val="ListBullet"/>
      </w:pPr>
      <w:r>
        <w:t>Market breadth and sector/index relationships where data coverage is reliable.</w:t>
      </w:r>
    </w:p>
    <w:p>
      <w:pPr>
        <w:pStyle w:val="ListBullet"/>
      </w:pPr>
      <w:r>
        <w:t>Scheduled economic events and timestamped news features only if a reliable, auditable source is selected.</w:t>
      </w:r>
    </w:p>
    <w:p>
      <w:pPr>
        <w:pStyle w:val="ListBullet"/>
      </w:pPr>
      <w:r>
        <w:t>Asset-specific context such as contract expiry/roll, corporate actions, holidays and instrument/session calendar.</w:t>
      </w:r>
    </w:p>
    <w:p>
      <w:r>
        <w:t>Candidate features must be tested for availability, data quality, leakage risk, redundancy and incremental value. Do not include a feature merely because it is available.</w:t>
      </w:r>
    </w:p>
    <w:p>
      <w:pPr>
        <w:pStyle w:val="Heading1"/>
      </w:pPr>
      <w:r>
        <w:t>7.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Data category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Validation controls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Instrument master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Canonical symbol, exchange/venue, instrument type, timezone, currency, tick/contract conventions where relevant.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Reject unmapped symbols; version mapping changes.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Historical market data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Sufficient time-stamped OHLCV/returns for feature windows, training and out-of-sample evaluation.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Gaps, duplicates, out-of-order bars, corporate actions, roll/expiry and timezone handling.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Pre-market/overnight data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Timestamped inputs available before the forecast cutoff.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Record source publication/observation time; exclude anything published after cutoff.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Market calendar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Trading sessions, holidays, early closes, auctions and timezone rules for each instrument.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No forecast run at an invalid session time; handle daylight-saving changes where relevant.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Provider metadata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Source, latency/delay status, coverage, rate limits, permitted usage and license terms.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Provider health, data-age thresholds, fallback and outage policy.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Forecast ledger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Forecast ID, cutoff, issued time, instrument, horizon, output, model version, input snapshot/reference and later outcome.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Append-only/immutable original record; auditable revisions as separate records.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Evaluation labels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A precise realized outcome for the target horizon, including fees/cost assumptions if evaluating a tradable strategy.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Label only after horizon completes; prevent overlapping/ambiguous labels per approved protocol.</w:t>
            </w:r>
          </w:p>
        </w:tc>
      </w:tr>
    </w:tbl>
    <w:p/>
    <w:p>
      <w:pPr>
        <w:pStyle w:val="Heading1"/>
      </w:pPr>
      <w:r>
        <w:t>8. Backtesting and model validation</w:t>
      </w:r>
    </w:p>
    <w:p>
      <w:pPr>
        <w:pStyle w:val="ListBullet"/>
      </w:pPr>
      <w:r>
        <w:t>Define each prediction target before testing: instrument, forecast cutoff, horizon, up/down/sideways thresholds and label treatment for flat moves.</w:t>
      </w:r>
    </w:p>
    <w:p>
      <w:pPr>
        <w:pStyle w:val="ListBullet"/>
      </w:pPr>
      <w:r>
        <w:t>Use chronological train/validation/test splits or walk-forward evaluation. Do not randomly shuffle time-series examples in a way that leaks future regimes into training.</w:t>
      </w:r>
    </w:p>
    <w:p>
      <w:pPr>
        <w:pStyle w:val="ListBullet"/>
      </w:pPr>
      <w:r>
        <w:t>Use point-in-time data: features must reflect what was genuinely available at the forecast cutoff, including news publication timestamps and revisions.</w:t>
      </w:r>
    </w:p>
    <w:p>
      <w:pPr>
        <w:pStyle w:val="ListBullet"/>
      </w:pPr>
      <w:r>
        <w:t>Apply a purge/embargo or equivalent separation where labels overlap across horizons; document the chosen method.</w:t>
      </w:r>
    </w:p>
    <w:p>
      <w:pPr>
        <w:pStyle w:val="ListBullet"/>
      </w:pPr>
      <w:r>
        <w:t>Compare against a simple base-rate and transparent rule-based baseline on the same test periods.</w:t>
      </w:r>
    </w:p>
    <w:p>
      <w:pPr>
        <w:pStyle w:val="ListBullet"/>
      </w:pPr>
      <w:r>
        <w:t>Report sample size, test dates, market regimes, missing-data exclusions and performance by instrument/horizon.</w:t>
      </w:r>
    </w:p>
    <w:p>
      <w:pPr>
        <w:pStyle w:val="ListBullet"/>
      </w:pPr>
      <w:r>
        <w:t>For probability forecasts, report calibration/reliability and proper scoring rules such as Brier score or log loss, alongside directional metrics.</w:t>
      </w:r>
    </w:p>
    <w:p>
      <w:pPr>
        <w:pStyle w:val="ListBullet"/>
      </w:pPr>
      <w:r>
        <w:t>For directional signals, report confusion matrix, balanced accuracy or precision/recall as appropriate; avoid relying on accuracy alone.</w:t>
      </w:r>
    </w:p>
    <w:p>
      <w:pPr>
        <w:pStyle w:val="ListBullet"/>
      </w:pPr>
      <w:r>
        <w:t>If a trading simulation is later approved, include realistic fees, slippage, spread, latency, position sizing and execution assumptions. A forecast test alone is not a profitable-strategy test.</w:t>
      </w:r>
    </w:p>
    <w:p>
      <w:pPr>
        <w:pStyle w:val="ListBullet"/>
      </w:pPr>
      <w:r>
        <w:t>Keep a final untouched holdout or forward paper-evaluation period. Do not tune thresholds on the final test period.</w:t>
      </w:r>
    </w:p>
    <w:p>
      <w:pPr>
        <w:pStyle w:val="ListBullet"/>
      </w:pPr>
      <w:r>
        <w:t>Store every forecast as issued; score it after the target horizon closes. Never rewrite old predictions based on later information.</w:t>
      </w:r>
    </w:p>
    <w:p>
      <w:pPr>
        <w:pStyle w:val="ListBullet"/>
      </w:pPr>
      <w:r>
        <w:t>Monitor drift and performance after launch; disable or downgrade the model if validated limits are breached.</w:t>
      </w:r>
    </w:p>
    <w:p>
      <w:pPr>
        <w:pStyle w:val="Heading1"/>
      </w:pPr>
      <w:r>
        <w:t>9. Proposed acceptance criteria and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Data readiness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Provider selected; permitted usage confirmed; symbol/session mapping validated; source timestamps and data-quality thresholds approved.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Deterministic signal tests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Approved fixture set passes all expected outputs, including threshold boundaries, missing data and invalidation cases.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Leakage control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Auditable evidence that every feature timestamp is at or before forecast cutoff; no future data used in training or scoring.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Baseline comparison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Candidate beats or provides a justified improvement over the agreed baseline on pre-registered out-of-sample evaluation; thresholds approved before test.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Probability quality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If probabilities are displayed, calibration and proper scoring are reported on sufficient out-of-sample samples; acceptance limits are pre-agreed, not selected after seeing results.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Robustness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Performance is reviewed by instrument, horizon and market regime; failure cases and low-sample cases are documented.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Signal quality gate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No signal is published if required inputs are stale, incomplete or outside validated conditions.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Every signal can be reproduced from its stored input snapshot/reference and model/rule version.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UI and risk wording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Horizon, timestamp, data quality and uncertainty are visible; no guaranteed-outcome wording.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Operational readiness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Monitoring, provider outage handling, model disable/rollback and forecast evaluation schedule are documented.</w:t>
            </w:r>
          </w:p>
        </w:tc>
      </w:tr>
    </w:tbl>
    <w:p/>
    <w:p>
      <w:r>
        <w:t>Do not set an arbitrary accuracy percentage as a launch promise. Quantitative thresholds should be pre-registered after target definition, baseline evaluation, sample-size review and risk tolerance approval.</w:t>
      </w:r>
    </w:p>
    <w:p>
      <w:pPr>
        <w:pStyle w:val="Heading1"/>
      </w:pPr>
      <w:r>
        <w:t>10. Risk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193052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Stale or missing market data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Per-instrument freshness threshold; explicit stale state; suppress forecast when required data is invalid.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Look-ahead/data leakage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Point-in-time feature store, timestamp audit, chronological split, code review and automated leakage tests.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Overfitting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Baseline comparison, walk-forward validation, untouched holdout, limited tuning and documented model selection.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False confidence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Probability calibration; no unsupported confidence claims; show uncertainty and abstain when evidence is weak.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Regime shift/model drift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Monitor input distributions and rolling performance; alert and disable/downgrade when limits fail.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Provider outage/rate limit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Timeout, bounded retries/backoff, health status, provider fallback only if validated; otherwise no signal.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Cross-market session mismatch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Per-instrument calendar/timezone; don't imply one global market status applies to all assets.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Misleading signals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Explainable drivers, explicit horizon, invalidation conditions, source timestamp and informational-use disclaimer.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  <w:sz w:val="16"/>
              </w:rPr>
              <w:t>Unauthorized data use</w:t>
            </w:r>
          </w:p>
        </w:tc>
        <w:tc>
          <w:tcPr>
            <w:tcW w:type="dxa" w:w="5112"/>
          </w:tcPr>
          <w:p>
            <w:r>
              <w:rPr>
                <w:b w:val="0"/>
                <w:sz w:val="16"/>
              </w:rPr>
              <w:t>Review provider terms, exchange licensing and redistribution restrictions before release.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Operational failure</w:t>
            </w:r>
          </w:p>
        </w:tc>
        <w:tc>
          <w:tcPr>
            <w:tcW w:type="dxa" w:w="5112"/>
            <w:shd w:fill="F1F5F9"/>
          </w:tcPr>
          <w:p>
            <w:r>
              <w:rPr>
                <w:b w:val="0"/>
                <w:sz w:val="16"/>
              </w:rPr>
              <w:t>Versioned releases, audit logs, alerting, rollback and kill switch for forecast publication.</w:t>
            </w:r>
          </w:p>
        </w:tc>
      </w:tr>
    </w:tbl>
    <w:p/>
    <w:p>
      <w:pPr>
        <w:pStyle w:val="Heading1"/>
      </w:pPr>
      <w:r>
        <w:t>11. API design – proposed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shd w:fill="193052"/>
          </w:tcPr>
          <w:p>
            <w:r>
              <w:rPr>
                <w:b/>
                <w:color w:val="FFFFFF"/>
                <w:sz w:val="16"/>
              </w:rPr>
              <w:t>Key contract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GET /api/v1/premarket/overview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Get latest pre-market signals for configured instruments.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asOf, cutoffAt, sessionDate, marketStatusByInstrument, signals[], dataQuality, modelVersion.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GET /api/v1/premarket/signals/{symbol}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Get a signal and its supporting detail.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symbol, direction, strength, horizon, volatility, drivers[], invalidation, sourceTimestamp, issuedAt, version.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GET /api/v1/forecasts/{forecastId}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Retrieve immutable forecast record.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forecastId, original output, cutoff, issuedAt, inputSnapshotRef, modelVersion, status.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GET /api/v1/forecasts/history?symbol=&amp;horizon=&amp;from=&amp;to=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Retrieve previous forecasts and evaluation state.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items[], issued forecast fields, realized outcome when matured, evaluation status.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6"/>
              </w:rPr>
              <w:t>GET /api/v1/health/data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Operational endpoint for feed health (protected/internal as appropriate).</w:t>
            </w:r>
          </w:p>
        </w:tc>
        <w:tc>
          <w:tcPr>
            <w:tcW w:type="dxa" w:w="3408"/>
          </w:tcPr>
          <w:p>
            <w:r>
              <w:rPr>
                <w:b w:val="0"/>
                <w:sz w:val="16"/>
              </w:rPr>
              <w:t>provider status, lastSuccessAt, latency, dataAge, errors; no credentials.</w:t>
            </w:r>
          </w:p>
        </w:tc>
      </w:tr>
      <w:tr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POST /api/v1/admin/evaluation/run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Optional internal trigger for evaluation job.</w:t>
            </w:r>
          </w:p>
        </w:tc>
        <w:tc>
          <w:tcPr>
            <w:tcW w:type="dxa" w:w="3408"/>
            <w:shd w:fill="F1F5F9"/>
          </w:tcPr>
          <w:p>
            <w:r>
              <w:rPr>
                <w:b w:val="0"/>
                <w:sz w:val="16"/>
              </w:rPr>
              <w:t>Restricted access, idempotency, job ID and audit record; not a public endpoint.</w:t>
            </w:r>
          </w:p>
        </w:tc>
      </w:tr>
    </w:tbl>
    <w:p/>
    <w:p>
      <w:pPr>
        <w:pStyle w:val="Heading2"/>
      </w:pPr>
      <w:r>
        <w:t>11.1 Example overview response</w:t>
      </w:r>
    </w:p>
    <w:p>
      <w:r>
        <w:rPr>
          <w:rFonts w:ascii="Consolas" w:hAnsi="Consolas"/>
          <w:sz w:val="16"/>
        </w:rPr>
        <w:t>{</w:t>
        <w:br/>
        <w:t xml:space="preserve">  "sessionDate": "YYYY-MM-DD",</w:t>
        <w:br/>
        <w:t xml:space="preserve">  "cutoffAt": "ISO-8601 timestamp with timezone",</w:t>
        <w:br/>
        <w:t xml:space="preserve">  "issuedAt": "ISO-8601 timestamp with timezone",</w:t>
        <w:br/>
        <w:t xml:space="preserve">  "modelVersion": "premarket-baseline-v1",</w:t>
        <w:br/>
        <w:t xml:space="preserve">  "signals": [</w:t>
        <w:br/>
        <w:t xml:space="preserve">    {</w:t>
        <w:br/>
        <w:t xml:space="preserve">      "symbol": "NIFTY",</w:t>
        <w:br/>
        <w:t xml:space="preserve">      "direction": "NEUTRAL",</w:t>
        <w:br/>
        <w:t xml:space="preserve">      "signalStrength": "UNAVAILABLE",</w:t>
        <w:br/>
        <w:t xml:space="preserve">      "horizon": "NEXT_SESSION",</w:t>
        <w:br/>
        <w:t xml:space="preserve">      "volatilityOutlook": "UNAVAILABLE",</w:t>
        <w:br/>
        <w:t xml:space="preserve">      "drivers": [],</w:t>
        <w:br/>
        <w:t xml:space="preserve">      "invalidationConditions": [],</w:t>
        <w:br/>
        <w:t xml:space="preserve">      "dataQuality": "INSUFFICIENT",</w:t>
        <w:br/>
        <w:t xml:space="preserve">      "sourceTimestamp": null,</w:t>
        <w:br/>
        <w:t xml:space="preserve">      "forecastId": "opaque-id",</w:t>
        <w:br/>
        <w:t xml:space="preserve">      "probabilities": null</w:t>
        <w:br/>
        <w:t xml:space="preserve">    }</w:t>
        <w:br/>
        <w:t xml:space="preserve">  ]</w:t>
        <w:br/>
        <w:t>}</w:t>
      </w:r>
    </w:p>
    <w:p>
      <w:r>
        <w:t>Illustrative schema only. Use null/omitted fields according to the final API contract; do not publish placeholder signals as actual forecasts.</w:t>
      </w:r>
    </w:p>
    <w:p>
      <w:pPr>
        <w:pStyle w:val="Heading1"/>
      </w:pPr>
      <w:r>
        <w:t>12. QA strategy and test areas</w:t>
      </w:r>
    </w:p>
    <w:p>
      <w:pPr>
        <w:pStyle w:val="ListBullet"/>
      </w:pPr>
      <w:r>
        <w:t>Functional: dashboard, card navigation, horizon display, details, history and no-signal states.</w:t>
      </w:r>
    </w:p>
    <w:p>
      <w:pPr>
        <w:pStyle w:val="ListBullet"/>
      </w:pPr>
      <w:r>
        <w:t>Data: missing/duplicate/out-of-order/stale/future-dated records, incorrect symbol mapping, session calendar and timezone boundaries.</w:t>
      </w:r>
    </w:p>
    <w:p>
      <w:pPr>
        <w:pStyle w:val="ListBullet"/>
      </w:pPr>
      <w:r>
        <w:t>Calculation: known fixture outputs, threshold edges, feature windows, signal strength and invalidation rules.</w:t>
      </w:r>
    </w:p>
    <w:p>
      <w:pPr>
        <w:pStyle w:val="ListBullet"/>
      </w:pPr>
      <w:r>
        <w:t>Backtest integrity: chronological splits, no look-ahead, immutable forecast records, outcome labels only after horizon completion.</w:t>
      </w:r>
    </w:p>
    <w:p>
      <w:pPr>
        <w:pStyle w:val="ListBullet"/>
      </w:pPr>
      <w:r>
        <w:t>API: schema validation, authentication for internal endpoints, rate limits, timeouts, 4xx/5xx handling and idempotency.</w:t>
      </w:r>
    </w:p>
    <w:p>
      <w:pPr>
        <w:pStyle w:val="ListBullet"/>
      </w:pPr>
      <w:r>
        <w:t>Risk controls: model kill switch, stale-data suppression, provider outage, drift thresholds and rollback.</w:t>
      </w:r>
    </w:p>
    <w:p>
      <w:pPr>
        <w:pStyle w:val="ListBullet"/>
      </w:pPr>
      <w:r>
        <w:t>UI: responsive layouts, accessible non-color labels, long names/timestamps, loading/error states and mobile interactions.</w:t>
      </w:r>
    </w:p>
    <w:p>
      <w:pPr>
        <w:pStyle w:val="ListBullet"/>
      </w:pPr>
      <w:r>
        <w:t>Performance/security: dashboard response targets, job concurrency, secret handling, authorization and log hygiene.</w:t>
      </w:r>
    </w:p>
    <w:p>
      <w:pPr>
        <w:pStyle w:val="Heading1"/>
      </w:pPr>
      <w:r>
        <w:t>13. Open decisions</w:t>
      </w:r>
    </w:p>
    <w:p>
      <w:pPr>
        <w:pStyle w:val="ListNumber"/>
      </w:pPr>
      <w:r>
        <w:t>Which provider(s) and licensing model cover all target instruments?</w:t>
      </w:r>
    </w:p>
    <w:p>
      <w:pPr>
        <w:pStyle w:val="ListNumber"/>
      </w:pPr>
      <w:r>
        <w:t>Which exact instrument mapping and trading calendar applies to each card?</w:t>
      </w:r>
    </w:p>
    <w:p>
      <w:pPr>
        <w:pStyle w:val="ListNumber"/>
      </w:pPr>
      <w:r>
        <w:t>What is the pre-market cutoff for each instrument?</w:t>
      </w:r>
    </w:p>
    <w:p>
      <w:pPr>
        <w:pStyle w:val="ListNumber"/>
      </w:pPr>
      <w:r>
        <w:t>What does the screenshot's numeric value mean?</w:t>
      </w:r>
    </w:p>
    <w:p>
      <w:pPr>
        <w:pStyle w:val="ListNumber"/>
      </w:pPr>
      <w:r>
        <w:t>What are the target outcomes and horizons (e.g. next-session close-to-close)?</w:t>
      </w:r>
    </w:p>
    <w:p>
      <w:pPr>
        <w:pStyle w:val="ListNumber"/>
      </w:pPr>
      <w:r>
        <w:t>How are up/down/sideways and volatility regimes defined?</w:t>
      </w:r>
    </w:p>
    <w:p>
      <w:pPr>
        <w:pStyle w:val="ListNumber"/>
      </w:pPr>
      <w:r>
        <w:t>Which feature set is approved for baseline v1?</w:t>
      </w:r>
    </w:p>
    <w:p>
      <w:pPr>
        <w:pStyle w:val="ListNumber"/>
      </w:pPr>
      <w:r>
        <w:t>What sample-size and out-of-sample performance/calibration gates will be pre-registered?</w:t>
      </w:r>
    </w:p>
    <w:p>
      <w:pPr>
        <w:pStyle w:val="ListNumber"/>
      </w:pPr>
      <w:r>
        <w:t>Which mobile implementation is required: native, cross-platform, or PWA?</w:t>
      </w:r>
    </w:p>
    <w:p>
      <w:pPr>
        <w:pStyle w:val="ListNumber"/>
      </w:pPr>
      <w:r>
        <w:t>How will forecasts be disabled if feed/model quality degrades?</w:t>
      </w:r>
    </w:p>
    <w:p>
      <w:r>
        <w:br w:type="page"/>
      </w:r>
    </w:p>
    <w:p>
      <w:pPr>
        <w:pStyle w:val="Heading1"/>
      </w:pPr>
      <w:r>
        <w:t>14. Decision update v0.4 — Provider, horizons and probabilities</w:t>
      </w:r>
    </w:p>
    <w:p>
      <w:r>
        <w:t>Decision status: confirmed product direction; implementation details remain subject to provider/API inspection. Platform remains web + mobile, audience personal, and purpose market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Confirmed direction</w:t>
            </w:r>
          </w:p>
        </w:tc>
        <w:tc>
          <w:tcPr>
            <w:tcW w:type="dxa" w:w="3408"/>
          </w:tcPr>
          <w:p>
            <w:r>
              <w:t>Implementation implication</w:t>
            </w:r>
          </w:p>
        </w:tc>
      </w:tr>
      <w:tr>
        <w:tc>
          <w:tcPr>
            <w:tcW w:type="dxa" w:w="3408"/>
          </w:tcPr>
          <w:p>
            <w:r>
              <w:t>Market-data provider</w:t>
            </w:r>
          </w:p>
        </w:tc>
        <w:tc>
          <w:tcPr>
            <w:tcW w:type="dxa" w:w="3408"/>
          </w:tcPr>
          <w:p>
            <w:r>
              <w:t>An existing provider/API will be used; provider identity and documentation have not yet been supplied in this decision.</w:t>
            </w:r>
          </w:p>
        </w:tc>
        <w:tc>
          <w:tcPr>
            <w:tcW w:type="dxa" w:w="3408"/>
          </w:tcPr>
          <w:p>
            <w:r>
              <w:t>Do not implement provider-specific assumptions until endpoint docs, symbols, timestamp semantics, rate limits, history depth and usage rights are reviewed.</w:t>
            </w:r>
          </w:p>
        </w:tc>
      </w:tr>
      <w:tr>
        <w:tc>
          <w:tcPr>
            <w:tcW w:type="dxa" w:w="3408"/>
          </w:tcPr>
          <w:p>
            <w:r>
              <w:t>Forecast horizon</w:t>
            </w:r>
          </w:p>
        </w:tc>
        <w:tc>
          <w:tcPr>
            <w:tcW w:type="dxa" w:w="3408"/>
          </w:tcPr>
          <w:p>
            <w:r>
              <w:t>Both pre-market / next-session and intraday forecasts.</w:t>
            </w:r>
          </w:p>
        </w:tc>
        <w:tc>
          <w:tcPr>
            <w:tcW w:type="dxa" w:w="3408"/>
          </w:tcPr>
          <w:p>
            <w:r>
              <w:t>Use separate target definitions, issue schedules, expiry rules and evaluation reports per horizon.</w:t>
            </w:r>
          </w:p>
        </w:tc>
      </w:tr>
      <w:tr>
        <w:tc>
          <w:tcPr>
            <w:tcW w:type="dxa" w:w="3408"/>
          </w:tcPr>
          <w:p>
            <w:r>
              <w:t>Forecast output</w:t>
            </w:r>
          </w:p>
        </w:tc>
        <w:tc>
          <w:tcPr>
            <w:tcW w:type="dxa" w:w="3408"/>
          </w:tcPr>
          <w:p>
            <w:r>
              <w:t>Directional signals plus estimated outcome probabilities.</w:t>
            </w:r>
          </w:p>
        </w:tc>
        <w:tc>
          <w:tcPr>
            <w:tcW w:type="dxa" w:w="3408"/>
          </w:tcPr>
          <w:p>
            <w:r>
              <w:t>Show Bullish/Bearish/Neutral signal and calibrated class probabilities only after validation; otherwise show probability as unavailable.</w:t>
            </w:r>
          </w:p>
        </w:tc>
      </w:tr>
    </w:tbl>
    <w:p>
      <w:pPr>
        <w:pStyle w:val="Heading2"/>
      </w:pPr>
      <w:r>
        <w:t>14.1 Existing provider: requirements checklist</w:t>
      </w:r>
    </w:p>
    <w:p>
      <w:r>
        <w:t>The provider is a dependency, not yet a verified integration. The following must be checked against the actual provider documentation and account entitlement before development is considered ready:</w:t>
      </w:r>
    </w:p>
    <w:p>
      <w:pPr>
        <w:pStyle w:val="ListBullet"/>
      </w:pPr>
      <w:r>
        <w:t>Instrument coverage: exact symbols, exchange/venue identifiers, asset type, currency, index/derivative availability, and mapping for every GOD'S EYE card.</w:t>
      </w:r>
    </w:p>
    <w:p>
      <w:pPr>
        <w:pStyle w:val="ListBullet"/>
      </w:pPr>
      <w:r>
        <w:t>Data types: historical OHLCV/bars, current or delayed quotes, pre-market/overnight observations, and intraday bars at a resolution suitable for the selected 15/30/60-minute horizons. Do not assume auction or order-book data is available.</w:t>
      </w:r>
    </w:p>
    <w:p>
      <w:pPr>
        <w:pStyle w:val="ListBullet"/>
      </w:pPr>
      <w:r>
        <w:t>Timestamp semantics: source observation time, publication time where relevant, exchange-local timezone, UTC handling, bar start/end convention, and whether timestamps are event-time or retrieval-time.</w:t>
      </w:r>
    </w:p>
    <w:p>
      <w:pPr>
        <w:pStyle w:val="ListBullet"/>
      </w:pPr>
      <w:r>
        <w:t>Freshness and latency: provider update frequency, delay flags, expected lag, stale-data threshold, outage behaviour and whether data is revised after first publication.</w:t>
      </w:r>
    </w:p>
    <w:p>
      <w:pPr>
        <w:pStyle w:val="ListBullet"/>
      </w:pPr>
      <w:r>
        <w:t>History and quality: historical depth, missing-bar behaviour, corporate actions, futures roll/expiry treatment where applicable, duplicate/out-of-order records and corrections.</w:t>
      </w:r>
    </w:p>
    <w:p>
      <w:pPr>
        <w:pStyle w:val="ListBullet"/>
      </w:pPr>
      <w:r>
        <w:t>Access and reliability: authentication, rate limits, quotas, pagination, timeout behaviour, retry guidance, service-level expectations, sandbox/test access and status page.</w:t>
      </w:r>
    </w:p>
    <w:p>
      <w:pPr>
        <w:pStyle w:val="ListBullet"/>
      </w:pPr>
      <w:r>
        <w:t>Permitted use: personal-use entitlement, display/derived-data rules, caching limits, historical-data rights, exchange redistribution restrictions and retention requirements.</w:t>
      </w:r>
    </w:p>
    <w:p>
      <w:pPr>
        <w:pStyle w:val="ListBullet"/>
      </w:pPr>
      <w:r>
        <w:t>Commercial/operational fit: cost, request volume, concurrency, supported symbols, provider support, versioning/deprecation policy and backup-provider feasibility.</w:t>
      </w:r>
    </w:p>
    <w:p>
      <w:pPr>
        <w:pStyle w:val="ListBullet"/>
      </w:pPr>
      <w:r>
        <w:t>Security: store credentials server-side, rotate secrets, redact tokens from logs, and never expose provider keys in web/mobile client payloads.</w:t>
      </w:r>
    </w:p>
    <w:p>
      <w:pPr>
        <w:pStyle w:val="ListBullet"/>
      </w:pPr>
      <w:r>
        <w:t>Fallback: use another feed only if symbol mapping, timestamps, adjustments and calculations are validated as comparable; otherwise abstain and return NO_SIGNAL.</w:t>
      </w:r>
    </w:p>
    <w:p>
      <w:pPr>
        <w:pStyle w:val="Heading2"/>
      </w:pPr>
      <w:r>
        <w:t>14.2 Forecast target definitions — proposed MVP contract</w:t>
      </w:r>
    </w:p>
    <w:p>
      <w:r>
        <w:t>Targets below define what is being forecast, not a promise of predictive accuracy. Product/quant must approve the exact instruments, bar conventions, thresholds and market-session rules before model training.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Target ID</w:t>
            </w:r>
          </w:p>
        </w:tc>
        <w:tc>
          <w:tcPr>
            <w:tcW w:type="dxa" w:w="2045"/>
          </w:tcPr>
          <w:p>
            <w:r>
              <w:t>Forecast issue time</w:t>
            </w:r>
          </w:p>
        </w:tc>
        <w:tc>
          <w:tcPr>
            <w:tcW w:type="dxa" w:w="2045"/>
          </w:tcPr>
          <w:p>
            <w:r>
              <w:t>Target outcome</w:t>
            </w:r>
          </w:p>
        </w:tc>
        <w:tc>
          <w:tcPr>
            <w:tcW w:type="dxa" w:w="2045"/>
          </w:tcPr>
          <w:p>
            <w:r>
              <w:t>Label definition</w:t>
            </w:r>
          </w:p>
        </w:tc>
        <w:tc>
          <w:tcPr>
            <w:tcW w:type="dxa" w:w="2045"/>
          </w:tcPr>
          <w:p>
            <w:r>
              <w:t>Expiry / evaluation</w:t>
            </w:r>
          </w:p>
        </w:tc>
      </w:tr>
      <w:tr>
        <w:tc>
          <w:tcPr>
            <w:tcW w:type="dxa" w:w="2045"/>
          </w:tcPr>
          <w:p>
            <w:r>
              <w:t>PREMARKET_NEXT_SESSION</w:t>
            </w:r>
          </w:p>
        </w:tc>
        <w:tc>
          <w:tcPr>
            <w:tcW w:type="dxa" w:w="2045"/>
          </w:tcPr>
          <w:p>
            <w:r>
              <w:t>At a configured cutoff before the relevant instrument's regular session opens; persist the exact cutoff and all input timestamps.</w:t>
            </w:r>
          </w:p>
        </w:tc>
        <w:tc>
          <w:tcPr>
            <w:tcW w:type="dxa" w:w="2045"/>
          </w:tcPr>
          <w:p>
            <w:r>
              <w:t>Direction of regular-session close-to-close return: previous official session close to target session official close.</w:t>
            </w:r>
          </w:p>
        </w:tc>
        <w:tc>
          <w:tcPr>
            <w:tcW w:type="dxa" w:w="2045"/>
          </w:tcPr>
          <w:p>
            <w:r>
              <w:t>UP if return &gt; +epsilon; DOWN if return &lt; -epsilon; NEUTRAL otherwise. Epsilon is fixed per instrument/horizon using a pre-registered rule, such as a minimum material-move floor and/or volatility-scaled threshold, fit only on training data.</w:t>
            </w:r>
          </w:p>
        </w:tc>
        <w:tc>
          <w:tcPr>
            <w:tcW w:type="dxa" w:w="2045"/>
          </w:tcPr>
          <w:p>
            <w:r>
              <w:t>Matures only after the target session official close is available and quality-checked. Holidays/early closes use the instrument calendar.</w:t>
            </w:r>
          </w:p>
        </w:tc>
      </w:tr>
      <w:tr>
        <w:tc>
          <w:tcPr>
            <w:tcW w:type="dxa" w:w="2045"/>
          </w:tcPr>
          <w:p>
            <w:r>
              <w:t>INTRADAY_15M</w:t>
            </w:r>
          </w:p>
        </w:tc>
        <w:tc>
          <w:tcPr>
            <w:tcW w:type="dxa" w:w="2045"/>
          </w:tcPr>
          <w:p>
            <w:r>
              <w:t>At each approved intraday forecast checkpoint after a valid completed bar/quote; no future or unfinished-bar values may be used.</w:t>
            </w:r>
          </w:p>
        </w:tc>
        <w:tc>
          <w:tcPr>
            <w:tcW w:type="dxa" w:w="2045"/>
          </w:tcPr>
          <w:p>
            <w:r>
              <w:t>Forward return from the latest eligible observable reference price at issue time to the price at issue time + 15 minutes, using the documented bar/quote convention.</w:t>
            </w:r>
          </w:p>
        </w:tc>
        <w:tc>
          <w:tcPr>
            <w:tcW w:type="dxa" w:w="2045"/>
          </w:tcPr>
          <w:p>
            <w:r>
              <w:t>UP / DOWN / NEUTRAL using the same pre-registered threshold framework, with threshold calibrated separately for this horizon and instrument on training data only.</w:t>
            </w:r>
          </w:p>
        </w:tc>
        <w:tc>
          <w:tcPr>
            <w:tcW w:type="dxa" w:w="2045"/>
          </w:tcPr>
          <w:p>
            <w:r>
              <w:t>Matures after the 15-minute target timestamp plus any required data-finalization delay.</w:t>
            </w:r>
          </w:p>
        </w:tc>
      </w:tr>
      <w:tr>
        <w:tc>
          <w:tcPr>
            <w:tcW w:type="dxa" w:w="2045"/>
          </w:tcPr>
          <w:p>
            <w:r>
              <w:t>INTRADAY_30M</w:t>
            </w:r>
          </w:p>
        </w:tc>
        <w:tc>
          <w:tcPr>
            <w:tcW w:type="dxa" w:w="2045"/>
          </w:tcPr>
          <w:p>
            <w:r>
              <w:t>At each approved intraday forecast checkpoint.</w:t>
            </w:r>
          </w:p>
        </w:tc>
        <w:tc>
          <w:tcPr>
            <w:tcW w:type="dxa" w:w="2045"/>
          </w:tcPr>
          <w:p>
            <w:r>
              <w:t>Forward return from issue-time reference price to issue time + 30 minutes.</w:t>
            </w:r>
          </w:p>
        </w:tc>
        <w:tc>
          <w:tcPr>
            <w:tcW w:type="dxa" w:w="2045"/>
          </w:tcPr>
          <w:p>
            <w:r>
              <w:t>UP / DOWN / NEUTRAL with horizon-specific threshold.</w:t>
            </w:r>
          </w:p>
        </w:tc>
        <w:tc>
          <w:tcPr>
            <w:tcW w:type="dxa" w:w="2045"/>
          </w:tcPr>
          <w:p>
            <w:r>
              <w:t>Matures after the 30-minute target timestamp plus finalization delay.</w:t>
            </w:r>
          </w:p>
        </w:tc>
      </w:tr>
      <w:tr>
        <w:tc>
          <w:tcPr>
            <w:tcW w:type="dxa" w:w="2045"/>
          </w:tcPr>
          <w:p>
            <w:r>
              <w:t>INTRADAY_60M</w:t>
            </w:r>
          </w:p>
        </w:tc>
        <w:tc>
          <w:tcPr>
            <w:tcW w:type="dxa" w:w="2045"/>
          </w:tcPr>
          <w:p>
            <w:r>
              <w:t>At each approved intraday forecast checkpoint.</w:t>
            </w:r>
          </w:p>
        </w:tc>
        <w:tc>
          <w:tcPr>
            <w:tcW w:type="dxa" w:w="2045"/>
          </w:tcPr>
          <w:p>
            <w:r>
              <w:t>Forward return from issue-time reference price to issue time + 60 minutes.</w:t>
            </w:r>
          </w:p>
        </w:tc>
        <w:tc>
          <w:tcPr>
            <w:tcW w:type="dxa" w:w="2045"/>
          </w:tcPr>
          <w:p>
            <w:r>
              <w:t>UP / DOWN / NEUTRAL with horizon-specific threshold.</w:t>
            </w:r>
          </w:p>
        </w:tc>
        <w:tc>
          <w:tcPr>
            <w:tcW w:type="dxa" w:w="2045"/>
          </w:tcPr>
          <w:p>
            <w:r>
              <w:t>Matures after the 60-minute target timestamp plus finalization delay.</w:t>
            </w:r>
          </w:p>
        </w:tc>
      </w:tr>
    </w:tbl>
    <w:p>
      <w:r>
        <w:t>Reference-price rule: choose and document one consistent source (e.g. last valid eligible bar close or a timestamped quote) per instrument. Do not mix reference-price conventions within a model evaluation. If the instrument is halted, data is missing, or the target endpoint cannot be established reliably, mark the example EXCLUDED with a reason rather than inventing a label.</w:t>
      </w:r>
    </w:p>
    <w:p>
      <w:pPr>
        <w:pStyle w:val="Heading2"/>
      </w:pPr>
      <w:r>
        <w:t>14.3 Probability output contract</w:t>
      </w:r>
    </w:p>
    <w:p>
      <w:pPr>
        <w:pStyle w:val="ListBullet"/>
      </w:pPr>
      <w:r>
        <w:t>For each supported target/horizon, return P(UP), P(NEUTRAL), and P(DOWN), each between 0 and 1 and summing to 1 within an agreed numerical tolerance.</w:t>
      </w:r>
    </w:p>
    <w:p>
      <w:pPr>
        <w:pStyle w:val="ListBullet"/>
      </w:pPr>
      <w:r>
        <w:t>The displayed directional signal is derived from a pre-approved rule over the probabilities and any minimum-confidence/abstention threshold. Do not choose the rule after seeing holdout results.</w:t>
      </w:r>
    </w:p>
    <w:p>
      <w:pPr>
        <w:pStyle w:val="ListBullet"/>
      </w:pPr>
      <w:r>
        <w:t>Show probabilities only after calibration and out-of-sample evaluation gates pass. Until then, the UI must show 'Probability unavailable / not validated', not fabricated percentages.</w:t>
      </w:r>
    </w:p>
    <w:p>
      <w:pPr>
        <w:pStyle w:val="ListBullet"/>
      </w:pPr>
      <w:r>
        <w:t>Probability calibration must be assessed separately by instrument and horizon where sample size permits; report sample count and uncertainty, and avoid overclaiming where data is sparse.</w:t>
      </w:r>
    </w:p>
    <w:p>
      <w:pPr>
        <w:pStyle w:val="ListBullet"/>
      </w:pPr>
      <w:r>
        <w:t>Store raw model output, calibrated output, calibration version, model version, issue timestamp, cutoff, feature/input snapshot reference and evaluation label.</w:t>
      </w:r>
    </w:p>
    <w:p>
      <w:pPr>
        <w:pStyle w:val="ListBullet"/>
      </w:pPr>
      <w:r>
        <w:t>Signal strength is a separate product field and must not be represented as probability.</w:t>
      </w:r>
    </w:p>
    <w:p>
      <w:pPr>
        <w:pStyle w:val="Heading2"/>
      </w:pPr>
      <w:r>
        <w:t>14.4 Updated implementation plan</w:t>
      </w:r>
    </w:p>
    <w:p>
      <w:pPr>
        <w:pStyle w:val="ListNumber"/>
      </w:pPr>
      <w:r>
        <w:rPr>
          <w:b/>
        </w:rPr>
        <w:t xml:space="preserve">Step 1 — Provider discovery (blocking): </w:t>
      </w:r>
      <w:r>
        <w:t>Collect provider name, API documentation, account entitlement and example payloads. Build an instrument/endpoint coverage matrix and confirm timestamp, history, rate-limit and licensing details.</w:t>
      </w:r>
    </w:p>
    <w:p>
      <w:pPr>
        <w:pStyle w:val="ListNumber"/>
      </w:pPr>
      <w:r>
        <w:rPr>
          <w:b/>
        </w:rPr>
        <w:t xml:space="preserve">Step 2 — Data contract and adapter: </w:t>
      </w:r>
      <w:r>
        <w:t>Define canonical instrument IDs and internal normalized schema; implement provider adapter, calendar/timezone handling, data-age checks, retries and provider-health monitoring.</w:t>
      </w:r>
    </w:p>
    <w:p>
      <w:pPr>
        <w:pStyle w:val="ListNumber"/>
      </w:pPr>
      <w:r>
        <w:rPr>
          <w:b/>
        </w:rPr>
        <w:t xml:space="preserve">Step 3 — Point-in-time data store: </w:t>
      </w:r>
      <w:r>
        <w:t>Persist raw/normalized observations and immutable forecast snapshots with event time, retrieval time, source and quality flags. Add duplicate/gap/out-of-order tests.</w:t>
      </w:r>
    </w:p>
    <w:p>
      <w:pPr>
        <w:pStyle w:val="ListNumber"/>
      </w:pPr>
      <w:r>
        <w:rPr>
          <w:b/>
        </w:rPr>
        <w:t xml:space="preserve">Step 4 — Lock target definitions: </w:t>
      </w:r>
      <w:r>
        <w:t>Approve next-session and 15/30/60-minute targets, reference-price convention, neutral threshold, session cutoff, expiry and exclusion policy before any model fitting.</w:t>
      </w:r>
    </w:p>
    <w:p>
      <w:pPr>
        <w:pStyle w:val="ListNumber"/>
      </w:pPr>
      <w:r>
        <w:rPr>
          <w:b/>
        </w:rPr>
        <w:t xml:space="preserve">Step 5 — Baseline and evaluation harness: </w:t>
      </w:r>
      <w:r>
        <w:t>Implement transparent baseline, chronological walk-forward splits, leakage checks, target label generation, metrics and forecast ledger.</w:t>
      </w:r>
    </w:p>
    <w:p>
      <w:pPr>
        <w:pStyle w:val="ListNumber"/>
      </w:pPr>
      <w:r>
        <w:rPr>
          <w:b/>
        </w:rPr>
        <w:t xml:space="preserve">Step 6 — Probability calibration: </w:t>
      </w:r>
      <w:r>
        <w:t>Train/calibrate class probabilities using training/validation data only; compare against base-rate probabilities and report reliability/Brier score or log loss.</w:t>
      </w:r>
    </w:p>
    <w:p>
      <w:pPr>
        <w:pStyle w:val="ListNumber"/>
      </w:pPr>
      <w:r>
        <w:rPr>
          <w:b/>
        </w:rPr>
        <w:t xml:space="preserve">Step 7 — API and UI: </w:t>
      </w:r>
      <w:r>
        <w:t>Implement overview/detail/history APIs; add horizon selector, signal, class probabilities (only if validated), data freshness, drivers, expiry and no-signal reason.</w:t>
      </w:r>
    </w:p>
    <w:p>
      <w:pPr>
        <w:pStyle w:val="ListNumber"/>
      </w:pPr>
      <w:r>
        <w:rPr>
          <w:b/>
        </w:rPr>
        <w:t xml:space="preserve">Step 8 — QA and shadow run: </w:t>
      </w:r>
      <w:r>
        <w:t>Execute QA workbook; run in shadow/paper mode across representative sessions; review results by instrument/horizon/regime before enabling visible probabilities.</w:t>
      </w:r>
    </w:p>
    <w:p>
      <w:pPr>
        <w:pStyle w:val="ListNumber"/>
      </w:pPr>
      <w:r>
        <w:rPr>
          <w:b/>
        </w:rPr>
        <w:t xml:space="preserve">Step 9 — Controlled release and monitoring: </w:t>
      </w:r>
      <w:r>
        <w:t>Release behind a feature flag, monitor feed/model health, preserve audit records and retain a kill switch/rollback path.</w:t>
      </w:r>
    </w:p>
    <w:p>
      <w:pPr>
        <w:pStyle w:val="Heading2"/>
      </w:pPr>
      <w:r>
        <w:t>14.5 Updated release gates</w:t>
      </w:r>
    </w:p>
    <w:p>
      <w:pPr>
        <w:pStyle w:val="ListBullet"/>
      </w:pPr>
      <w:r>
        <w:t>Provider coverage, personal-use/display rights, latency and historical depth are verified from actual provider documentation.</w:t>
      </w:r>
    </w:p>
    <w:p>
      <w:pPr>
        <w:pStyle w:val="ListBullet"/>
      </w:pPr>
      <w:r>
        <w:t>Target labels and thresholds are approved and version-controlled before final holdout evaluation.</w:t>
      </w:r>
    </w:p>
    <w:p>
      <w:pPr>
        <w:pStyle w:val="ListBullet"/>
      </w:pPr>
      <w:r>
        <w:t>Every feature used for a forecast is proven available at or before its issue cutoff.</w:t>
      </w:r>
    </w:p>
    <w:p>
      <w:pPr>
        <w:pStyle w:val="ListBullet"/>
      </w:pPr>
      <w:r>
        <w:t>Each horizon is evaluated separately against a simple baseline on chronological out-of-sample data.</w:t>
      </w:r>
    </w:p>
    <w:p>
      <w:pPr>
        <w:pStyle w:val="ListBullet"/>
      </w:pPr>
      <w:r>
        <w:t>Probability output remains hidden until calibration, sample sufficiency and pre-agreed acceptance gates are met.</w:t>
      </w:r>
    </w:p>
    <w:p>
      <w:pPr>
        <w:pStyle w:val="ListBullet"/>
      </w:pPr>
      <w:r>
        <w:t>Forecast records are immutable and every scored outcome is traceable to its original model/data version.</w:t>
      </w:r>
    </w:p>
    <w:p>
      <w:pPr>
        <w:pStyle w:val="ListBullet"/>
      </w:pPr>
      <w:r>
        <w:t>Stale, partial, unsupported-session or out-of-domain conditions result in NO_SIGNAL or a documented degraded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for review | Forecasts are uncertain and are not guarantees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GOD'S EYE – THE OBSERVER |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0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