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95E96"/>
        </w:rPr>
        <w:t>GOD'S EYE – THE OBSERVER</w:t>
      </w:r>
    </w:p>
    <w:p>
      <w:pPr>
        <w:pStyle w:val="Title"/>
        <w:jc w:val="center"/>
      </w:pPr>
      <w:r>
        <w:t>Pre-Market Module FRD v0.1</w:t>
      </w:r>
    </w:p>
    <w:p>
      <w:pPr>
        <w:jc w:val="center"/>
      </w:pPr>
      <w:r>
        <w:rPr>
          <w:i/>
          <w:sz w:val="20"/>
        </w:rPr>
        <w:t>Screen behaviour, signal contract and guardrails</w:t>
      </w:r>
    </w:p>
    <w:p>
      <w:pPr>
        <w:pStyle w:val="Heading1"/>
      </w:pPr>
      <w:r>
        <w:t>1. 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93052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408"/>
            <w:shd w:fill="193052"/>
          </w:tcPr>
          <w:p>
            <w:r>
              <w:rPr>
                <w:b/>
                <w:color w:val="FFFFFF"/>
                <w:sz w:val="16"/>
              </w:rPr>
              <w:t>Screen</w:t>
            </w:r>
          </w:p>
        </w:tc>
        <w:tc>
          <w:tcPr>
            <w:tcW w:type="dxa" w:w="3408"/>
            <w:shd w:fill="193052"/>
          </w:tcPr>
          <w:p>
            <w:r>
              <w:rPr>
                <w:b/>
                <w:color w:val="FFFFFF"/>
                <w:sz w:val="16"/>
              </w:rPr>
              <w:t>Key behaviour</w:t>
            </w:r>
          </w:p>
        </w:tc>
      </w:tr>
      <w:tr>
        <w:tc>
          <w:tcPr>
            <w:tcW w:type="dxa" w:w="3408"/>
          </w:tcPr>
          <w:p>
            <w:r>
              <w:rPr>
                <w:b w:val="0"/>
                <w:sz w:val="16"/>
              </w:rPr>
              <w:t>PM-01</w:t>
            </w:r>
          </w:p>
        </w:tc>
        <w:tc>
          <w:tcPr>
            <w:tcW w:type="dxa" w:w="3408"/>
          </w:tcPr>
          <w:p>
            <w:r>
              <w:rPr>
                <w:b w:val="0"/>
                <w:sz w:val="16"/>
              </w:rPr>
              <w:t>Pre-market overview</w:t>
            </w:r>
          </w:p>
        </w:tc>
        <w:tc>
          <w:tcPr>
            <w:tcW w:type="dxa" w:w="3408"/>
          </w:tcPr>
          <w:p>
            <w:r>
              <w:rPr>
                <w:b w:val="0"/>
                <w:sz w:val="16"/>
              </w:rPr>
              <w:t>Display session date/cutoff, per-instrument status, signal cards and data-quality notices.</w:t>
            </w:r>
          </w:p>
        </w:tc>
      </w:tr>
      <w:tr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PM-02</w:t>
            </w:r>
          </w:p>
        </w:tc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Signal details</w:t>
            </w:r>
          </w:p>
        </w:tc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Show direction, horizon, strength definition, drivers, invalidation conditions, source timestamp and model version.</w:t>
            </w:r>
          </w:p>
        </w:tc>
      </w:tr>
      <w:tr>
        <w:tc>
          <w:tcPr>
            <w:tcW w:type="dxa" w:w="3408"/>
          </w:tcPr>
          <w:p>
            <w:r>
              <w:rPr>
                <w:b w:val="0"/>
                <w:sz w:val="16"/>
              </w:rPr>
              <w:t>PM-03</w:t>
            </w:r>
          </w:p>
        </w:tc>
        <w:tc>
          <w:tcPr>
            <w:tcW w:type="dxa" w:w="3408"/>
          </w:tcPr>
          <w:p>
            <w:r>
              <w:rPr>
                <w:b w:val="0"/>
                <w:sz w:val="16"/>
              </w:rPr>
              <w:t>Forecast history</w:t>
            </w:r>
          </w:p>
        </w:tc>
        <w:tc>
          <w:tcPr>
            <w:tcW w:type="dxa" w:w="3408"/>
          </w:tcPr>
          <w:p>
            <w:r>
              <w:rPr>
                <w:b w:val="0"/>
                <w:sz w:val="16"/>
              </w:rPr>
              <w:t>Show original issued forecasts and whether each target horizon has matured; never rewrite original prediction.</w:t>
            </w:r>
          </w:p>
        </w:tc>
      </w:tr>
      <w:tr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PM-04</w:t>
            </w:r>
          </w:p>
        </w:tc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Data/model status (internal or personal diagnostics)</w:t>
            </w:r>
          </w:p>
        </w:tc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Show provider freshness, feed errors and model status without exposing secrets.</w:t>
            </w:r>
          </w:p>
        </w:tc>
      </w:tr>
    </w:tbl>
    <w:p/>
    <w:p>
      <w:pPr>
        <w:pStyle w:val="Heading1"/>
      </w:pPr>
      <w:r>
        <w:t>2. Signal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93052"/>
          </w:tcPr>
          <w:p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type="dxa" w:w="3408"/>
            <w:shd w:fill="193052"/>
          </w:tcPr>
          <w:p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408"/>
            <w:shd w:fill="193052"/>
          </w:tcPr>
          <w:p>
            <w:r>
              <w:rPr>
                <w:b/>
                <w:color w:val="FFFFFF"/>
                <w:sz w:val="16"/>
              </w:rPr>
              <w:t>UI behaviour</w:t>
            </w:r>
          </w:p>
        </w:tc>
      </w:tr>
      <w:tr>
        <w:tc>
          <w:tcPr>
            <w:tcW w:type="dxa" w:w="3408"/>
          </w:tcPr>
          <w:p>
            <w:r>
              <w:rPr>
                <w:b w:val="0"/>
                <w:sz w:val="16"/>
              </w:rPr>
              <w:t>BULLISH</w:t>
            </w:r>
          </w:p>
        </w:tc>
        <w:tc>
          <w:tcPr>
            <w:tcW w:type="dxa" w:w="3408"/>
          </w:tcPr>
          <w:p>
            <w:r>
              <w:rPr>
                <w:b w:val="0"/>
                <w:sz w:val="16"/>
              </w:rPr>
              <w:t>Approved model/rules favour positive outcome over the stated horizon.</w:t>
            </w:r>
          </w:p>
        </w:tc>
        <w:tc>
          <w:tcPr>
            <w:tcW w:type="dxa" w:w="3408"/>
          </w:tcPr>
          <w:p>
            <w:r>
              <w:rPr>
                <w:b w:val="0"/>
                <w:sz w:val="16"/>
              </w:rPr>
              <w:t>Show bullish label and supporting evidence.</w:t>
            </w:r>
          </w:p>
        </w:tc>
      </w:tr>
      <w:tr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BEARISH</w:t>
            </w:r>
          </w:p>
        </w:tc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Approved model/rules favour negative outcome over the stated horizon.</w:t>
            </w:r>
          </w:p>
        </w:tc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Show bearish label and supporting evidence.</w:t>
            </w:r>
          </w:p>
        </w:tc>
      </w:tr>
      <w:tr>
        <w:tc>
          <w:tcPr>
            <w:tcW w:type="dxa" w:w="3408"/>
          </w:tcPr>
          <w:p>
            <w:r>
              <w:rPr>
                <w:b w:val="0"/>
                <w:sz w:val="16"/>
              </w:rPr>
              <w:t>NEUTRAL</w:t>
            </w:r>
          </w:p>
        </w:tc>
        <w:tc>
          <w:tcPr>
            <w:tcW w:type="dxa" w:w="3408"/>
          </w:tcPr>
          <w:p>
            <w:r>
              <w:rPr>
                <w:b w:val="0"/>
                <w:sz w:val="16"/>
              </w:rPr>
              <w:t>Inputs are valid but do not satisfy directional rules.</w:t>
            </w:r>
          </w:p>
        </w:tc>
        <w:tc>
          <w:tcPr>
            <w:tcW w:type="dxa" w:w="3408"/>
          </w:tcPr>
          <w:p>
            <w:r>
              <w:rPr>
                <w:b w:val="0"/>
                <w:sz w:val="16"/>
              </w:rPr>
              <w:t>Show neutral/mixed state, not a forced directional call.</w:t>
            </w:r>
          </w:p>
        </w:tc>
      </w:tr>
      <w:tr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NO_SIGNAL</w:t>
            </w:r>
          </w:p>
        </w:tc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Insufficient/stale/invalid inputs, unavailable model, or out-of-scope regime.</w:t>
            </w:r>
          </w:p>
        </w:tc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Show explicit reason and avoid a directional forecast.</w:t>
            </w:r>
          </w:p>
        </w:tc>
      </w:tr>
      <w:tr>
        <w:tc>
          <w:tcPr>
            <w:tcW w:type="dxa" w:w="3408"/>
          </w:tcPr>
          <w:p>
            <w:r>
              <w:rPr>
                <w:b w:val="0"/>
                <w:sz w:val="16"/>
              </w:rPr>
              <w:t>EXPIRED</w:t>
            </w:r>
          </w:p>
        </w:tc>
        <w:tc>
          <w:tcPr>
            <w:tcW w:type="dxa" w:w="3408"/>
          </w:tcPr>
          <w:p>
            <w:r>
              <w:rPr>
                <w:b w:val="0"/>
                <w:sz w:val="16"/>
              </w:rPr>
              <w:t>Signal passed its approved validity window or invalidation condition fired.</w:t>
            </w:r>
          </w:p>
        </w:tc>
        <w:tc>
          <w:tcPr>
            <w:tcW w:type="dxa" w:w="3408"/>
          </w:tcPr>
          <w:p>
            <w:r>
              <w:rPr>
                <w:b w:val="0"/>
                <w:sz w:val="16"/>
              </w:rPr>
              <w:t>Mark expired and retain record in history.</w:t>
            </w:r>
          </w:p>
        </w:tc>
      </w:tr>
    </w:tbl>
    <w:p/>
    <w:p>
      <w:pPr>
        <w:pStyle w:val="Heading1"/>
      </w:pPr>
      <w:r>
        <w:t>3. Required API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93052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93052"/>
          </w:tcPr>
          <w:p>
            <w:r>
              <w:rPr>
                <w:b/>
                <w:color w:val="FFFFFF"/>
                <w:sz w:val="16"/>
              </w:rPr>
              <w:t>Type / rule</w:t>
            </w:r>
          </w:p>
        </w:tc>
      </w:tr>
      <w:tr>
        <w:tc>
          <w:tcPr>
            <w:tcW w:type="dxa" w:w="5112"/>
          </w:tcPr>
          <w:p>
            <w:r>
              <w:rPr>
                <w:b w:val="0"/>
                <w:sz w:val="16"/>
              </w:rPr>
              <w:t>forecastId</w:t>
            </w:r>
          </w:p>
        </w:tc>
        <w:tc>
          <w:tcPr>
            <w:tcW w:type="dxa" w:w="5112"/>
          </w:tcPr>
          <w:p>
            <w:r>
              <w:rPr>
                <w:b w:val="0"/>
                <w:sz w:val="16"/>
              </w:rPr>
              <w:t>Stable opaque identifier for an issued forecast.</w:t>
            </w:r>
          </w:p>
        </w:tc>
      </w:tr>
      <w:tr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symbol</w:t>
            </w:r>
          </w:p>
        </w:tc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Canonical instrument identifier, not only a display name.</w:t>
            </w:r>
          </w:p>
        </w:tc>
      </w:tr>
      <w:tr>
        <w:tc>
          <w:tcPr>
            <w:tcW w:type="dxa" w:w="5112"/>
          </w:tcPr>
          <w:p>
            <w:r>
              <w:rPr>
                <w:b w:val="0"/>
                <w:sz w:val="16"/>
              </w:rPr>
              <w:t>direction</w:t>
            </w:r>
          </w:p>
        </w:tc>
        <w:tc>
          <w:tcPr>
            <w:tcW w:type="dxa" w:w="5112"/>
          </w:tcPr>
          <w:p>
            <w:r>
              <w:rPr>
                <w:b w:val="0"/>
                <w:sz w:val="16"/>
              </w:rPr>
              <w:t>BULLISH | BEARISH | NEUTRAL | NO_SIGNAL.</w:t>
            </w:r>
          </w:p>
        </w:tc>
      </w:tr>
      <w:tr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horizon</w:t>
            </w:r>
          </w:p>
        </w:tc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Required enum/string with explicit definition.</w:t>
            </w:r>
          </w:p>
        </w:tc>
      </w:tr>
      <w:tr>
        <w:tc>
          <w:tcPr>
            <w:tcW w:type="dxa" w:w="5112"/>
          </w:tcPr>
          <w:p>
            <w:r>
              <w:rPr>
                <w:b w:val="0"/>
                <w:sz w:val="16"/>
              </w:rPr>
              <w:t>issuedAt / cutoffAt</w:t>
            </w:r>
          </w:p>
        </w:tc>
        <w:tc>
          <w:tcPr>
            <w:tcW w:type="dxa" w:w="5112"/>
          </w:tcPr>
          <w:p>
            <w:r>
              <w:rPr>
                <w:b w:val="0"/>
                <w:sz w:val="16"/>
              </w:rPr>
              <w:t>Timezone-aware ISO-8601 timestamps.</w:t>
            </w:r>
          </w:p>
        </w:tc>
      </w:tr>
      <w:tr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sourceTimestamp / dataQuality</w:t>
            </w:r>
          </w:p>
        </w:tc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Source observation time and quality state.</w:t>
            </w:r>
          </w:p>
        </w:tc>
      </w:tr>
      <w:tr>
        <w:tc>
          <w:tcPr>
            <w:tcW w:type="dxa" w:w="5112"/>
          </w:tcPr>
          <w:p>
            <w:r>
              <w:rPr>
                <w:b w:val="0"/>
                <w:sz w:val="16"/>
              </w:rPr>
              <w:t>signalStrength</w:t>
            </w:r>
          </w:p>
        </w:tc>
        <w:tc>
          <w:tcPr>
            <w:tcW w:type="dxa" w:w="5112"/>
          </w:tcPr>
          <w:p>
            <w:r>
              <w:rPr>
                <w:b w:val="0"/>
                <w:sz w:val="16"/>
              </w:rPr>
              <w:t>Optional enum only if a documented calculation exists.</w:t>
            </w:r>
          </w:p>
        </w:tc>
      </w:tr>
      <w:tr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drivers</w:t>
            </w:r>
          </w:p>
        </w:tc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List of traceable feature names/values or approved explanations.</w:t>
            </w:r>
          </w:p>
        </w:tc>
      </w:tr>
      <w:tr>
        <w:tc>
          <w:tcPr>
            <w:tcW w:type="dxa" w:w="5112"/>
          </w:tcPr>
          <w:p>
            <w:r>
              <w:rPr>
                <w:b w:val="0"/>
                <w:sz w:val="16"/>
              </w:rPr>
              <w:t>invalidationConditions</w:t>
            </w:r>
          </w:p>
        </w:tc>
        <w:tc>
          <w:tcPr>
            <w:tcW w:type="dxa" w:w="5112"/>
          </w:tcPr>
          <w:p>
            <w:r>
              <w:rPr>
                <w:b w:val="0"/>
                <w:sz w:val="16"/>
              </w:rPr>
              <w:t>Deterministic conditions or empty list if not defined.</w:t>
            </w:r>
          </w:p>
        </w:tc>
      </w:tr>
      <w:tr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modelVersion / ruleVersion</w:t>
            </w:r>
          </w:p>
        </w:tc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Required for reproducibility.</w:t>
            </w:r>
          </w:p>
        </w:tc>
      </w:tr>
      <w:tr>
        <w:tc>
          <w:tcPr>
            <w:tcW w:type="dxa" w:w="5112"/>
          </w:tcPr>
          <w:p>
            <w:r>
              <w:rPr>
                <w:b w:val="0"/>
                <w:sz w:val="16"/>
              </w:rPr>
              <w:t>probabilities</w:t>
            </w:r>
          </w:p>
        </w:tc>
        <w:tc>
          <w:tcPr>
            <w:tcW w:type="dxa" w:w="5112"/>
          </w:tcPr>
          <w:p>
            <w:r>
              <w:rPr>
                <w:b w:val="0"/>
                <w:sz w:val="16"/>
              </w:rPr>
              <w:t>Optional; only if outcomes are defined and probabilities validated.</w:t>
            </w:r>
          </w:p>
        </w:tc>
      </w:tr>
      <w:tr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evaluationStatus</w:t>
            </w:r>
          </w:p>
        </w:tc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PENDING | MATURED | SCORED | EXCLUDED, with exclusion reason where relevant.</w:t>
            </w:r>
          </w:p>
        </w:tc>
      </w:tr>
    </w:tbl>
    <w:p/>
    <w:p>
      <w:pPr>
        <w:pStyle w:val="Heading1"/>
      </w:pPr>
      <w:r>
        <w:t>4. UI acceptance criteria</w:t>
      </w:r>
    </w:p>
    <w:p>
      <w:pPr>
        <w:pStyle w:val="ListBullet"/>
      </w:pPr>
      <w:r>
        <w:t>Every signal shows its target horizon and issue time.</w:t>
      </w:r>
    </w:p>
    <w:p>
      <w:pPr>
        <w:pStyle w:val="ListBullet"/>
      </w:pPr>
      <w:r>
        <w:t>Market-data source timestamp is not confused with forecast issue time.</w:t>
      </w:r>
    </w:p>
    <w:p>
      <w:pPr>
        <w:pStyle w:val="ListBullet"/>
      </w:pPr>
      <w:r>
        <w:t>No Signal is a valid state and is not rendered as Neutral.</w:t>
      </w:r>
    </w:p>
    <w:p>
      <w:pPr>
        <w:pStyle w:val="ListBullet"/>
      </w:pPr>
      <w:r>
        <w:t>Signals show an explanation and data-quality status.</w:t>
      </w:r>
    </w:p>
    <w:p>
      <w:pPr>
        <w:pStyle w:val="ListBullet"/>
      </w:pPr>
      <w:r>
        <w:t>An expired signal is not shown as current.</w:t>
      </w:r>
    </w:p>
    <w:p>
      <w:pPr>
        <w:pStyle w:val="ListBullet"/>
      </w:pPr>
      <w:r>
        <w:t>Forecast history preserves the original output and version.</w:t>
      </w:r>
    </w:p>
    <w:p>
      <w:pPr>
        <w:pStyle w:val="ListBullet"/>
      </w:pPr>
      <w:r>
        <w:t>Probability values are not shown unless the API indicates a validated probability contract.</w:t>
      </w:r>
    </w:p>
    <w:p>
      <w:pPr>
        <w:pStyle w:val="ListBullet"/>
      </w:pPr>
      <w:r>
        <w:t>All states are readable without relying only on red/green colour.</w:t>
      </w:r>
    </w:p>
    <w:p>
      <w:r>
        <w:br w:type="page"/>
      </w:r>
    </w:p>
    <w:p>
      <w:pPr>
        <w:pStyle w:val="Heading1"/>
      </w:pPr>
      <w:r>
        <w:t>5. Multi-horizon behaviour and probability presentation</w:t>
      </w:r>
    </w:p>
    <w:p>
      <w:r>
        <w:t>The module supports pre-market next-session forecasts and intraday 15-, 30- and 60-minute horizons. The final set of intraday intervals is configurable, but target definitions and UI labels must use the exact horizon selected.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Horizon</w:t>
            </w:r>
          </w:p>
        </w:tc>
        <w:tc>
          <w:tcPr>
            <w:tcW w:type="dxa" w:w="2556"/>
          </w:tcPr>
          <w:p>
            <w:r>
              <w:t>Reference</w:t>
            </w:r>
          </w:p>
        </w:tc>
        <w:tc>
          <w:tcPr>
            <w:tcW w:type="dxa" w:w="2556"/>
          </w:tcPr>
          <w:p>
            <w:r>
              <w:t>Outcome window</w:t>
            </w:r>
          </w:p>
        </w:tc>
        <w:tc>
          <w:tcPr>
            <w:tcW w:type="dxa" w:w="2556"/>
          </w:tcPr>
          <w:p>
            <w:r>
              <w:t>Display rule</w:t>
            </w:r>
          </w:p>
        </w:tc>
      </w:tr>
      <w:tr>
        <w:tc>
          <w:tcPr>
            <w:tcW w:type="dxa" w:w="2556"/>
          </w:tcPr>
          <w:p>
            <w:r>
              <w:t>Next session</w:t>
            </w:r>
          </w:p>
        </w:tc>
        <w:tc>
          <w:tcPr>
            <w:tcW w:type="dxa" w:w="2556"/>
          </w:tcPr>
          <w:p>
            <w:r>
              <w:t>Approved previous official close reference</w:t>
            </w:r>
          </w:p>
        </w:tc>
        <w:tc>
          <w:tcPr>
            <w:tcW w:type="dxa" w:w="2556"/>
          </w:tcPr>
          <w:p>
            <w:r>
              <w:t>Previous session close → target session official close</w:t>
            </w:r>
          </w:p>
        </w:tc>
        <w:tc>
          <w:tcPr>
            <w:tcW w:type="dxa" w:w="2556"/>
          </w:tcPr>
          <w:p>
            <w:r>
              <w:t>Show target session date and pre-market cutoff.</w:t>
            </w:r>
          </w:p>
        </w:tc>
      </w:tr>
      <w:tr>
        <w:tc>
          <w:tcPr>
            <w:tcW w:type="dxa" w:w="2556"/>
          </w:tcPr>
          <w:p>
            <w:r>
              <w:t>15 minutes</w:t>
            </w:r>
          </w:p>
        </w:tc>
        <w:tc>
          <w:tcPr>
            <w:tcW w:type="dxa" w:w="2556"/>
          </w:tcPr>
          <w:p>
            <w:r>
              <w:t>Latest eligible observable reference at issue time</w:t>
            </w:r>
          </w:p>
        </w:tc>
        <w:tc>
          <w:tcPr>
            <w:tcW w:type="dxa" w:w="2556"/>
          </w:tcPr>
          <w:p>
            <w:r>
              <w:t>Issue time → issue time + 15m</w:t>
            </w:r>
          </w:p>
        </w:tc>
        <w:tc>
          <w:tcPr>
            <w:tcW w:type="dxa" w:w="2556"/>
          </w:tcPr>
          <w:p>
            <w:r>
              <w:t>Show forecast issue time and expiry time.</w:t>
            </w:r>
          </w:p>
        </w:tc>
      </w:tr>
      <w:tr>
        <w:tc>
          <w:tcPr>
            <w:tcW w:type="dxa" w:w="2556"/>
          </w:tcPr>
          <w:p>
            <w:r>
              <w:t>30 minutes</w:t>
            </w:r>
          </w:p>
        </w:tc>
        <w:tc>
          <w:tcPr>
            <w:tcW w:type="dxa" w:w="2556"/>
          </w:tcPr>
          <w:p>
            <w:r>
              <w:t>Latest eligible observable reference at issue time</w:t>
            </w:r>
          </w:p>
        </w:tc>
        <w:tc>
          <w:tcPr>
            <w:tcW w:type="dxa" w:w="2556"/>
          </w:tcPr>
          <w:p>
            <w:r>
              <w:t>Issue time → issue time + 30m</w:t>
            </w:r>
          </w:p>
        </w:tc>
        <w:tc>
          <w:tcPr>
            <w:tcW w:type="dxa" w:w="2556"/>
          </w:tcPr>
          <w:p>
            <w:r>
              <w:t>Show forecast issue time and expiry time.</w:t>
            </w:r>
          </w:p>
        </w:tc>
      </w:tr>
      <w:tr>
        <w:tc>
          <w:tcPr>
            <w:tcW w:type="dxa" w:w="2556"/>
          </w:tcPr>
          <w:p>
            <w:r>
              <w:t>60 minutes</w:t>
            </w:r>
          </w:p>
        </w:tc>
        <w:tc>
          <w:tcPr>
            <w:tcW w:type="dxa" w:w="2556"/>
          </w:tcPr>
          <w:p>
            <w:r>
              <w:t>Latest eligible observable reference at issue time</w:t>
            </w:r>
          </w:p>
        </w:tc>
        <w:tc>
          <w:tcPr>
            <w:tcW w:type="dxa" w:w="2556"/>
          </w:tcPr>
          <w:p>
            <w:r>
              <w:t>Issue time → issue time + 60m</w:t>
            </w:r>
          </w:p>
        </w:tc>
        <w:tc>
          <w:tcPr>
            <w:tcW w:type="dxa" w:w="2556"/>
          </w:tcPr>
          <w:p>
            <w:r>
              <w:t>Show forecast issue time and expiry time.</w:t>
            </w:r>
          </w:p>
        </w:tc>
      </w:tr>
    </w:tbl>
    <w:p>
      <w:pPr>
        <w:pStyle w:val="Heading2"/>
      </w:pPr>
      <w:r>
        <w:t>5.1 Probability display</w:t>
      </w:r>
    </w:p>
    <w:p>
      <w:pPr>
        <w:pStyle w:val="ListBullet"/>
      </w:pPr>
      <w:r>
        <w:t>When validated probability output is enabled, display UP, NEUTRAL and DOWN probabilities for the selected horizon.</w:t>
      </w:r>
    </w:p>
    <w:p>
      <w:pPr>
        <w:pStyle w:val="ListBullet"/>
      </w:pPr>
      <w:r>
        <w:t>The three class probabilities must each be within [0,1] and sum to 1 within the API tolerance.</w:t>
      </w:r>
    </w:p>
    <w:p>
      <w:pPr>
        <w:pStyle w:val="ListBullet"/>
      </w:pPr>
      <w:r>
        <w:t>The signal label must follow the approved probability-to-signal rule; a highest-probability class does not automatically imply a publishable signal if abstention gates fail.</w:t>
      </w:r>
    </w:p>
    <w:p>
      <w:pPr>
        <w:pStyle w:val="ListBullet"/>
      </w:pPr>
      <w:r>
        <w:t>If probabilities are not validated, show an unavailable state rather than placeholder percentages.</w:t>
      </w:r>
    </w:p>
    <w:p>
      <w:pPr>
        <w:pStyle w:val="ListBullet"/>
      </w:pPr>
      <w:r>
        <w:t>Keep signal strength visually and semantically separate from probability.</w:t>
      </w:r>
    </w:p>
    <w:p>
      <w:pPr>
        <w:pStyle w:val="Heading2"/>
      </w:pPr>
      <w:r>
        <w:t>5.2 Provider failure states</w:t>
      </w:r>
    </w:p>
    <w:p>
      <w:pPr>
        <w:pStyle w:val="ListBullet"/>
      </w:pPr>
      <w:r>
        <w:t>Stale/missing data: show NO_SIGNAL and a safe reason.</w:t>
      </w:r>
    </w:p>
    <w:p>
      <w:pPr>
        <w:pStyle w:val="ListBullet"/>
      </w:pPr>
      <w:r>
        <w:t>Provider rate limit/outage: show data unavailable; do not silently reuse stale data as current.</w:t>
      </w:r>
    </w:p>
    <w:p>
      <w:pPr>
        <w:pStyle w:val="ListBullet"/>
      </w:pPr>
      <w:r>
        <w:t>Unsupported symbol/session: show unsupported/unavailable state and log diagnostics.</w:t>
      </w:r>
    </w:p>
    <w:p>
      <w:pPr>
        <w:pStyle w:val="ListBullet"/>
      </w:pPr>
      <w:r>
        <w:t>Fallback feed: only use after validation; otherwise abstain.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Draft for review | Forecasts are uncertain and are not guarantees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748B"/>
        <w:sz w:val="16"/>
      </w:rPr>
      <w:t>GOD'S EYE – THE OBSERVER | WORKING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05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