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5F5E" w14:textId="77777777" w:rsidR="00A50B08" w:rsidRDefault="0093381D">
      <w:pPr>
        <w:spacing w:before="1440" w:after="240"/>
        <w:jc w:val="center"/>
      </w:pPr>
      <w:r>
        <w:rPr>
          <w:b/>
          <w:bCs/>
          <w:color w:val="B91C1C"/>
          <w:sz w:val="28"/>
          <w:szCs w:val="28"/>
        </w:rPr>
        <w:t>NORTHEASTERN UNIVERSITY LONDON</w:t>
      </w:r>
    </w:p>
    <w:p w14:paraId="11E48652" w14:textId="77777777" w:rsidR="00A50B08" w:rsidRDefault="0093381D">
      <w:pPr>
        <w:spacing w:after="720"/>
        <w:jc w:val="center"/>
      </w:pPr>
      <w:r>
        <w:t>MSc Artificial Intelligence and Computer Science</w:t>
      </w:r>
    </w:p>
    <w:p w14:paraId="0701C438" w14:textId="77777777" w:rsidR="00A50B08" w:rsidRDefault="0093381D">
      <w:pPr>
        <w:spacing w:before="720" w:after="240"/>
        <w:jc w:val="center"/>
      </w:pPr>
      <w:r>
        <w:rPr>
          <w:b/>
          <w:bCs/>
          <w:color w:val="1F2937"/>
          <w:sz w:val="32"/>
          <w:szCs w:val="32"/>
        </w:rPr>
        <w:t>Comparative Evaluation of Explainable AI Methods for Customer Churn Prediction in Telecommunications:</w:t>
      </w:r>
    </w:p>
    <w:p w14:paraId="69D1564F" w14:textId="77777777" w:rsidR="00A50B08" w:rsidRDefault="0093381D">
      <w:pPr>
        <w:spacing w:after="720"/>
        <w:jc w:val="center"/>
      </w:pPr>
      <w:r>
        <w:rPr>
          <w:b/>
          <w:bCs/>
          <w:i/>
          <w:iCs/>
          <w:color w:val="374151"/>
          <w:sz w:val="28"/>
          <w:szCs w:val="28"/>
        </w:rPr>
        <w:t>A SHAP- and LIME-Based Framework with Marketer-Oriented Segmentation</w:t>
      </w:r>
    </w:p>
    <w:p w14:paraId="1EE8F6DC" w14:textId="77777777" w:rsidR="00A50B08" w:rsidRDefault="0093381D">
      <w:pPr>
        <w:spacing w:after="720"/>
        <w:jc w:val="center"/>
      </w:pPr>
      <w:r>
        <w:rPr>
          <w:i/>
          <w:iCs/>
        </w:rPr>
        <w:t>MSc Dissertation Project Proposal (AE1)</w:t>
      </w:r>
    </w:p>
    <w:p w14:paraId="6A530772" w14:textId="77777777" w:rsidR="00A50B08" w:rsidRDefault="00A50B08">
      <w:pPr>
        <w:spacing w:before="7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A50B08" w14:paraId="7A75F551" w14:textId="77777777">
        <w:tblPrEx>
          <w:tblCellMar>
            <w:top w:w="0" w:type="dxa"/>
            <w:bottom w:w="0" w:type="dxa"/>
          </w:tblCellMar>
        </w:tblPrEx>
        <w:trPr>
          <w:jc w:val="center"/>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51A318" w14:textId="77777777" w:rsidR="00A50B08" w:rsidRDefault="0093381D">
            <w:r>
              <w:rPr>
                <w:b/>
                <w:bCs/>
                <w:sz w:val="22"/>
                <w:szCs w:val="22"/>
              </w:rPr>
              <w:t>Student name:</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EA7ACD" w14:textId="389A6808" w:rsidR="00A50B08" w:rsidRDefault="0093381D">
            <w:r>
              <w:rPr>
                <w:sz w:val="22"/>
                <w:szCs w:val="22"/>
              </w:rPr>
              <w:t>Rajarajachozhan V</w:t>
            </w:r>
            <w:r w:rsidR="002C2501">
              <w:rPr>
                <w:sz w:val="22"/>
                <w:szCs w:val="22"/>
              </w:rPr>
              <w:t>ivekanandhan</w:t>
            </w:r>
            <w:r>
              <w:rPr>
                <w:sz w:val="22"/>
                <w:szCs w:val="22"/>
              </w:rPr>
              <w:t xml:space="preserve"> K</w:t>
            </w:r>
            <w:r w:rsidR="002C2501">
              <w:rPr>
                <w:sz w:val="22"/>
                <w:szCs w:val="22"/>
              </w:rPr>
              <w:t>othainayagi</w:t>
            </w:r>
          </w:p>
        </w:tc>
      </w:tr>
      <w:tr w:rsidR="00A50B08" w14:paraId="0C0402D9" w14:textId="77777777">
        <w:tblPrEx>
          <w:tblCellMar>
            <w:top w:w="0" w:type="dxa"/>
            <w:bottom w:w="0" w:type="dxa"/>
          </w:tblCellMar>
        </w:tblPrEx>
        <w:trPr>
          <w:jc w:val="center"/>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12588" w14:textId="77777777" w:rsidR="00A50B08" w:rsidRDefault="0093381D">
            <w:r>
              <w:rPr>
                <w:b/>
                <w:bCs/>
                <w:sz w:val="22"/>
                <w:szCs w:val="22"/>
              </w:rPr>
              <w:t>Student number:</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1984AF" w14:textId="77777777" w:rsidR="00A50B08" w:rsidRDefault="0093381D">
            <w:r>
              <w:rPr>
                <w:sz w:val="22"/>
                <w:szCs w:val="22"/>
              </w:rPr>
              <w:t>03189049</w:t>
            </w:r>
          </w:p>
        </w:tc>
      </w:tr>
      <w:tr w:rsidR="00A50B08" w14:paraId="033B144E" w14:textId="77777777">
        <w:tblPrEx>
          <w:tblCellMar>
            <w:top w:w="0" w:type="dxa"/>
            <w:bottom w:w="0" w:type="dxa"/>
          </w:tblCellMar>
        </w:tblPrEx>
        <w:trPr>
          <w:jc w:val="center"/>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EDE712" w14:textId="77777777" w:rsidR="00A50B08" w:rsidRDefault="0093381D">
            <w:r>
              <w:rPr>
                <w:b/>
                <w:bCs/>
                <w:sz w:val="22"/>
                <w:szCs w:val="22"/>
              </w:rPr>
              <w:t>Supervisor:</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C665C6" w14:textId="77777777" w:rsidR="00A50B08" w:rsidRDefault="0093381D">
            <w:r>
              <w:rPr>
                <w:sz w:val="22"/>
                <w:szCs w:val="22"/>
              </w:rPr>
              <w:t>Ibukun Afolabi</w:t>
            </w:r>
          </w:p>
        </w:tc>
      </w:tr>
      <w:tr w:rsidR="00A50B08" w14:paraId="1C5E2F2C" w14:textId="77777777">
        <w:tblPrEx>
          <w:tblCellMar>
            <w:top w:w="0" w:type="dxa"/>
            <w:bottom w:w="0" w:type="dxa"/>
          </w:tblCellMar>
        </w:tblPrEx>
        <w:trPr>
          <w:jc w:val="center"/>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86B0BB" w14:textId="77777777" w:rsidR="00A50B08" w:rsidRDefault="0093381D">
            <w:r>
              <w:rPr>
                <w:b/>
                <w:bCs/>
                <w:sz w:val="22"/>
                <w:szCs w:val="22"/>
              </w:rPr>
              <w:t>Course code:</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6B8D9" w14:textId="77777777" w:rsidR="00A50B08" w:rsidRDefault="0093381D">
            <w:r>
              <w:rPr>
                <w:sz w:val="22"/>
                <w:szCs w:val="22"/>
              </w:rPr>
              <w:t>LDSCI7237</w:t>
            </w:r>
          </w:p>
        </w:tc>
      </w:tr>
      <w:tr w:rsidR="00A50B08" w14:paraId="120E9BDC" w14:textId="77777777">
        <w:tblPrEx>
          <w:tblCellMar>
            <w:top w:w="0" w:type="dxa"/>
            <w:bottom w:w="0" w:type="dxa"/>
          </w:tblCellMar>
        </w:tblPrEx>
        <w:trPr>
          <w:jc w:val="center"/>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44671D" w14:textId="77777777" w:rsidR="00A50B08" w:rsidRDefault="0093381D">
            <w:r>
              <w:rPr>
                <w:b/>
                <w:bCs/>
                <w:sz w:val="22"/>
                <w:szCs w:val="22"/>
              </w:rPr>
              <w:t>Submission date:</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34A79A" w14:textId="77777777" w:rsidR="00A50B08" w:rsidRDefault="0093381D">
            <w:r>
              <w:rPr>
                <w:sz w:val="22"/>
                <w:szCs w:val="22"/>
              </w:rPr>
              <w:t>15 June 2026</w:t>
            </w:r>
          </w:p>
        </w:tc>
      </w:tr>
      <w:tr w:rsidR="00A50B08" w14:paraId="78B717D6" w14:textId="77777777">
        <w:tblPrEx>
          <w:tblCellMar>
            <w:top w:w="0" w:type="dxa"/>
            <w:bottom w:w="0" w:type="dxa"/>
          </w:tblCellMar>
        </w:tblPrEx>
        <w:trPr>
          <w:jc w:val="center"/>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7E0363" w14:textId="77777777" w:rsidR="00A50B08" w:rsidRDefault="0093381D">
            <w:r>
              <w:rPr>
                <w:b/>
                <w:bCs/>
                <w:sz w:val="22"/>
                <w:szCs w:val="22"/>
              </w:rPr>
              <w:t>Word count: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4DD35" w14:textId="77777777" w:rsidR="00A50B08" w:rsidRDefault="0093381D">
            <w:r>
              <w:rPr>
                <w:sz w:val="22"/>
                <w:szCs w:val="22"/>
              </w:rPr>
              <w:t>[ insert after writing ]</w:t>
            </w:r>
          </w:p>
        </w:tc>
      </w:tr>
    </w:tbl>
    <w:p w14:paraId="231A67ED" w14:textId="77777777" w:rsidR="00A50B08" w:rsidRDefault="0093381D">
      <w:r>
        <w:br w:type="page"/>
      </w:r>
    </w:p>
    <w:p w14:paraId="4711BA40" w14:textId="77777777" w:rsidR="00A50B08" w:rsidRDefault="0093381D">
      <w:pPr>
        <w:pStyle w:val="Heading1"/>
        <w:jc w:val="center"/>
      </w:pPr>
      <w:bookmarkStart w:id="0" w:name="_Toc232184182"/>
      <w:r>
        <w:lastRenderedPageBreak/>
        <w:t>Table of Contents</w:t>
      </w:r>
      <w:bookmarkEnd w:id="0"/>
    </w:p>
    <w:sdt>
      <w:sdtPr>
        <w:alias w:val="Table of Contents"/>
        <w:id w:val="202451881"/>
      </w:sdtPr>
      <w:sdtEndPr/>
      <w:sdtContent>
        <w:p w14:paraId="0E230A36" w14:textId="76405081" w:rsidR="002C2501" w:rsidRDefault="0093381D">
          <w:pPr>
            <w:pStyle w:val="TOC1"/>
            <w:tabs>
              <w:tab w:val="right" w:leader="dot" w:pos="9016"/>
            </w:tabs>
            <w:rPr>
              <w:noProof/>
            </w:rPr>
          </w:pPr>
          <w:r>
            <w:fldChar w:fldCharType="begin"/>
          </w:r>
          <w:r>
            <w:instrText>TOC \h \o "1-3"</w:instrText>
          </w:r>
          <w:r>
            <w:fldChar w:fldCharType="separate"/>
          </w:r>
          <w:hyperlink w:anchor="_Toc232184182" w:history="1">
            <w:r w:rsidR="002C2501" w:rsidRPr="004D60BE">
              <w:rPr>
                <w:rStyle w:val="Hyperlink"/>
                <w:noProof/>
              </w:rPr>
              <w:t>Table of Contents</w:t>
            </w:r>
            <w:r w:rsidR="002C2501">
              <w:rPr>
                <w:noProof/>
              </w:rPr>
              <w:tab/>
            </w:r>
            <w:r w:rsidR="002C2501">
              <w:rPr>
                <w:noProof/>
              </w:rPr>
              <w:fldChar w:fldCharType="begin"/>
            </w:r>
            <w:r w:rsidR="002C2501">
              <w:rPr>
                <w:noProof/>
              </w:rPr>
              <w:instrText xml:space="preserve"> PAGEREF _Toc232184182 \h </w:instrText>
            </w:r>
            <w:r w:rsidR="002C2501">
              <w:rPr>
                <w:noProof/>
              </w:rPr>
            </w:r>
            <w:r w:rsidR="002C2501">
              <w:rPr>
                <w:noProof/>
              </w:rPr>
              <w:fldChar w:fldCharType="separate"/>
            </w:r>
            <w:r w:rsidR="00275A87">
              <w:rPr>
                <w:noProof/>
              </w:rPr>
              <w:t>2</w:t>
            </w:r>
            <w:r w:rsidR="002C2501">
              <w:rPr>
                <w:noProof/>
              </w:rPr>
              <w:fldChar w:fldCharType="end"/>
            </w:r>
          </w:hyperlink>
        </w:p>
        <w:p w14:paraId="714B6EBD" w14:textId="0BA61885" w:rsidR="002C2501" w:rsidRDefault="002C2501">
          <w:pPr>
            <w:pStyle w:val="TOC1"/>
            <w:tabs>
              <w:tab w:val="right" w:leader="dot" w:pos="9016"/>
            </w:tabs>
            <w:rPr>
              <w:noProof/>
            </w:rPr>
          </w:pPr>
          <w:hyperlink w:anchor="_Toc232184183" w:history="1">
            <w:r w:rsidRPr="004D60BE">
              <w:rPr>
                <w:rStyle w:val="Hyperlink"/>
                <w:noProof/>
              </w:rPr>
              <w:t>1. Introduction</w:t>
            </w:r>
            <w:r>
              <w:rPr>
                <w:noProof/>
              </w:rPr>
              <w:tab/>
            </w:r>
            <w:r>
              <w:rPr>
                <w:noProof/>
              </w:rPr>
              <w:fldChar w:fldCharType="begin"/>
            </w:r>
            <w:r>
              <w:rPr>
                <w:noProof/>
              </w:rPr>
              <w:instrText xml:space="preserve"> PAGEREF _Toc232184183 \h </w:instrText>
            </w:r>
            <w:r>
              <w:rPr>
                <w:noProof/>
              </w:rPr>
            </w:r>
            <w:r>
              <w:rPr>
                <w:noProof/>
              </w:rPr>
              <w:fldChar w:fldCharType="separate"/>
            </w:r>
            <w:r w:rsidR="00275A87">
              <w:rPr>
                <w:noProof/>
              </w:rPr>
              <w:t>4</w:t>
            </w:r>
            <w:r>
              <w:rPr>
                <w:noProof/>
              </w:rPr>
              <w:fldChar w:fldCharType="end"/>
            </w:r>
          </w:hyperlink>
        </w:p>
        <w:p w14:paraId="75E4408B" w14:textId="7954C634" w:rsidR="002C2501" w:rsidRDefault="002C2501">
          <w:pPr>
            <w:pStyle w:val="TOC2"/>
            <w:tabs>
              <w:tab w:val="right" w:leader="dot" w:pos="9016"/>
            </w:tabs>
            <w:rPr>
              <w:noProof/>
            </w:rPr>
          </w:pPr>
          <w:hyperlink w:anchor="_Toc232184184" w:history="1">
            <w:r w:rsidRPr="004D60BE">
              <w:rPr>
                <w:rStyle w:val="Hyperlink"/>
                <w:noProof/>
              </w:rPr>
              <w:t>1.1 Context</w:t>
            </w:r>
            <w:r>
              <w:rPr>
                <w:noProof/>
              </w:rPr>
              <w:tab/>
            </w:r>
            <w:r>
              <w:rPr>
                <w:noProof/>
              </w:rPr>
              <w:fldChar w:fldCharType="begin"/>
            </w:r>
            <w:r>
              <w:rPr>
                <w:noProof/>
              </w:rPr>
              <w:instrText xml:space="preserve"> PAGEREF _Toc232184184 \h </w:instrText>
            </w:r>
            <w:r>
              <w:rPr>
                <w:noProof/>
              </w:rPr>
            </w:r>
            <w:r>
              <w:rPr>
                <w:noProof/>
              </w:rPr>
              <w:fldChar w:fldCharType="separate"/>
            </w:r>
            <w:r w:rsidR="00275A87">
              <w:rPr>
                <w:noProof/>
              </w:rPr>
              <w:t>4</w:t>
            </w:r>
            <w:r>
              <w:rPr>
                <w:noProof/>
              </w:rPr>
              <w:fldChar w:fldCharType="end"/>
            </w:r>
          </w:hyperlink>
        </w:p>
        <w:p w14:paraId="508D0650" w14:textId="1830857D" w:rsidR="002C2501" w:rsidRDefault="002C2501">
          <w:pPr>
            <w:pStyle w:val="TOC2"/>
            <w:tabs>
              <w:tab w:val="right" w:leader="dot" w:pos="9016"/>
            </w:tabs>
            <w:rPr>
              <w:noProof/>
            </w:rPr>
          </w:pPr>
          <w:hyperlink w:anchor="_Toc232184185" w:history="1">
            <w:r w:rsidRPr="004D60BE">
              <w:rPr>
                <w:rStyle w:val="Hyperlink"/>
                <w:noProof/>
              </w:rPr>
              <w:t>1.2 The Challenge</w:t>
            </w:r>
            <w:r>
              <w:rPr>
                <w:noProof/>
              </w:rPr>
              <w:tab/>
            </w:r>
            <w:r>
              <w:rPr>
                <w:noProof/>
              </w:rPr>
              <w:fldChar w:fldCharType="begin"/>
            </w:r>
            <w:r>
              <w:rPr>
                <w:noProof/>
              </w:rPr>
              <w:instrText xml:space="preserve"> PAGEREF _Toc232184185 \h </w:instrText>
            </w:r>
            <w:r>
              <w:rPr>
                <w:noProof/>
              </w:rPr>
            </w:r>
            <w:r>
              <w:rPr>
                <w:noProof/>
              </w:rPr>
              <w:fldChar w:fldCharType="separate"/>
            </w:r>
            <w:r w:rsidR="00275A87">
              <w:rPr>
                <w:noProof/>
              </w:rPr>
              <w:t>4</w:t>
            </w:r>
            <w:r>
              <w:rPr>
                <w:noProof/>
              </w:rPr>
              <w:fldChar w:fldCharType="end"/>
            </w:r>
          </w:hyperlink>
        </w:p>
        <w:p w14:paraId="4D38019B" w14:textId="2F89E759" w:rsidR="002C2501" w:rsidRDefault="002C2501">
          <w:pPr>
            <w:pStyle w:val="TOC2"/>
            <w:tabs>
              <w:tab w:val="right" w:leader="dot" w:pos="9016"/>
            </w:tabs>
            <w:rPr>
              <w:noProof/>
            </w:rPr>
          </w:pPr>
          <w:hyperlink w:anchor="_Toc232184186" w:history="1">
            <w:r w:rsidRPr="004D60BE">
              <w:rPr>
                <w:rStyle w:val="Hyperlink"/>
                <w:noProof/>
              </w:rPr>
              <w:t>1.3 Aims and Preliminary Thesis</w:t>
            </w:r>
            <w:r>
              <w:rPr>
                <w:noProof/>
              </w:rPr>
              <w:tab/>
            </w:r>
            <w:r>
              <w:rPr>
                <w:noProof/>
              </w:rPr>
              <w:fldChar w:fldCharType="begin"/>
            </w:r>
            <w:r>
              <w:rPr>
                <w:noProof/>
              </w:rPr>
              <w:instrText xml:space="preserve"> PAGEREF _Toc232184186 \h </w:instrText>
            </w:r>
            <w:r>
              <w:rPr>
                <w:noProof/>
              </w:rPr>
            </w:r>
            <w:r>
              <w:rPr>
                <w:noProof/>
              </w:rPr>
              <w:fldChar w:fldCharType="separate"/>
            </w:r>
            <w:r w:rsidR="00275A87">
              <w:rPr>
                <w:noProof/>
              </w:rPr>
              <w:t>4</w:t>
            </w:r>
            <w:r>
              <w:rPr>
                <w:noProof/>
              </w:rPr>
              <w:fldChar w:fldCharType="end"/>
            </w:r>
          </w:hyperlink>
        </w:p>
        <w:p w14:paraId="78A26947" w14:textId="5068F119" w:rsidR="002C2501" w:rsidRDefault="002C2501">
          <w:pPr>
            <w:pStyle w:val="TOC2"/>
            <w:tabs>
              <w:tab w:val="right" w:leader="dot" w:pos="9016"/>
            </w:tabs>
            <w:rPr>
              <w:noProof/>
            </w:rPr>
          </w:pPr>
          <w:hyperlink w:anchor="_Toc232184187" w:history="1">
            <w:r w:rsidRPr="004D60BE">
              <w:rPr>
                <w:rStyle w:val="Hyperlink"/>
                <w:noProof/>
              </w:rPr>
              <w:t>1.4 Proposed Methodology Overview</w:t>
            </w:r>
            <w:r>
              <w:rPr>
                <w:noProof/>
              </w:rPr>
              <w:tab/>
            </w:r>
            <w:r>
              <w:rPr>
                <w:noProof/>
              </w:rPr>
              <w:fldChar w:fldCharType="begin"/>
            </w:r>
            <w:r>
              <w:rPr>
                <w:noProof/>
              </w:rPr>
              <w:instrText xml:space="preserve"> PAGEREF _Toc232184187 \h </w:instrText>
            </w:r>
            <w:r>
              <w:rPr>
                <w:noProof/>
              </w:rPr>
            </w:r>
            <w:r>
              <w:rPr>
                <w:noProof/>
              </w:rPr>
              <w:fldChar w:fldCharType="separate"/>
            </w:r>
            <w:r w:rsidR="00275A87">
              <w:rPr>
                <w:noProof/>
              </w:rPr>
              <w:t>5</w:t>
            </w:r>
            <w:r>
              <w:rPr>
                <w:noProof/>
              </w:rPr>
              <w:fldChar w:fldCharType="end"/>
            </w:r>
          </w:hyperlink>
        </w:p>
        <w:p w14:paraId="09ADBE0F" w14:textId="53C5ED23" w:rsidR="002C2501" w:rsidRDefault="002C2501">
          <w:pPr>
            <w:pStyle w:val="TOC2"/>
            <w:tabs>
              <w:tab w:val="right" w:leader="dot" w:pos="9016"/>
            </w:tabs>
            <w:rPr>
              <w:noProof/>
            </w:rPr>
          </w:pPr>
          <w:hyperlink w:anchor="_Toc232184188" w:history="1">
            <w:r w:rsidRPr="004D60BE">
              <w:rPr>
                <w:rStyle w:val="Hyperlink"/>
                <w:noProof/>
              </w:rPr>
              <w:t>1.5 Why This Project, How It Improves on Prior Work</w:t>
            </w:r>
            <w:r>
              <w:rPr>
                <w:noProof/>
              </w:rPr>
              <w:tab/>
            </w:r>
            <w:r>
              <w:rPr>
                <w:noProof/>
              </w:rPr>
              <w:fldChar w:fldCharType="begin"/>
            </w:r>
            <w:r>
              <w:rPr>
                <w:noProof/>
              </w:rPr>
              <w:instrText xml:space="preserve"> PAGEREF _Toc232184188 \h </w:instrText>
            </w:r>
            <w:r>
              <w:rPr>
                <w:noProof/>
              </w:rPr>
            </w:r>
            <w:r>
              <w:rPr>
                <w:noProof/>
              </w:rPr>
              <w:fldChar w:fldCharType="separate"/>
            </w:r>
            <w:r w:rsidR="00275A87">
              <w:rPr>
                <w:noProof/>
              </w:rPr>
              <w:t>5</w:t>
            </w:r>
            <w:r>
              <w:rPr>
                <w:noProof/>
              </w:rPr>
              <w:fldChar w:fldCharType="end"/>
            </w:r>
          </w:hyperlink>
        </w:p>
        <w:p w14:paraId="69610343" w14:textId="598B076C" w:rsidR="002C2501" w:rsidRDefault="002C2501">
          <w:pPr>
            <w:pStyle w:val="TOC1"/>
            <w:tabs>
              <w:tab w:val="right" w:leader="dot" w:pos="9016"/>
            </w:tabs>
            <w:rPr>
              <w:noProof/>
            </w:rPr>
          </w:pPr>
          <w:hyperlink w:anchor="_Toc232184189" w:history="1">
            <w:r w:rsidRPr="004D60BE">
              <w:rPr>
                <w:rStyle w:val="Hyperlink"/>
                <w:noProof/>
              </w:rPr>
              <w:t>2. Literature Review</w:t>
            </w:r>
            <w:r>
              <w:rPr>
                <w:noProof/>
              </w:rPr>
              <w:tab/>
            </w:r>
            <w:r>
              <w:rPr>
                <w:noProof/>
              </w:rPr>
              <w:fldChar w:fldCharType="begin"/>
            </w:r>
            <w:r>
              <w:rPr>
                <w:noProof/>
              </w:rPr>
              <w:instrText xml:space="preserve"> PAGEREF _Toc232184189 \h </w:instrText>
            </w:r>
            <w:r>
              <w:rPr>
                <w:noProof/>
              </w:rPr>
            </w:r>
            <w:r>
              <w:rPr>
                <w:noProof/>
              </w:rPr>
              <w:fldChar w:fldCharType="separate"/>
            </w:r>
            <w:r w:rsidR="00275A87">
              <w:rPr>
                <w:noProof/>
              </w:rPr>
              <w:t>6</w:t>
            </w:r>
            <w:r>
              <w:rPr>
                <w:noProof/>
              </w:rPr>
              <w:fldChar w:fldCharType="end"/>
            </w:r>
          </w:hyperlink>
        </w:p>
        <w:p w14:paraId="49C71BEC" w14:textId="6F06316B" w:rsidR="002C2501" w:rsidRDefault="002C2501">
          <w:pPr>
            <w:pStyle w:val="TOC2"/>
            <w:tabs>
              <w:tab w:val="right" w:leader="dot" w:pos="9016"/>
            </w:tabs>
            <w:rPr>
              <w:noProof/>
            </w:rPr>
          </w:pPr>
          <w:hyperlink w:anchor="_Toc232184190" w:history="1">
            <w:r w:rsidRPr="004D60BE">
              <w:rPr>
                <w:rStyle w:val="Hyperlink"/>
                <w:noProof/>
              </w:rPr>
              <w:t>2.1 Customer Churn Prediction in Telecommunications</w:t>
            </w:r>
            <w:r>
              <w:rPr>
                <w:noProof/>
              </w:rPr>
              <w:tab/>
            </w:r>
            <w:r>
              <w:rPr>
                <w:noProof/>
              </w:rPr>
              <w:fldChar w:fldCharType="begin"/>
            </w:r>
            <w:r>
              <w:rPr>
                <w:noProof/>
              </w:rPr>
              <w:instrText xml:space="preserve"> PAGEREF _Toc232184190 \h </w:instrText>
            </w:r>
            <w:r>
              <w:rPr>
                <w:noProof/>
              </w:rPr>
            </w:r>
            <w:r>
              <w:rPr>
                <w:noProof/>
              </w:rPr>
              <w:fldChar w:fldCharType="separate"/>
            </w:r>
            <w:r w:rsidR="00275A87">
              <w:rPr>
                <w:noProof/>
              </w:rPr>
              <w:t>6</w:t>
            </w:r>
            <w:r>
              <w:rPr>
                <w:noProof/>
              </w:rPr>
              <w:fldChar w:fldCharType="end"/>
            </w:r>
          </w:hyperlink>
        </w:p>
        <w:p w14:paraId="76870CDD" w14:textId="0D411397" w:rsidR="002C2501" w:rsidRDefault="002C2501">
          <w:pPr>
            <w:pStyle w:val="TOC2"/>
            <w:tabs>
              <w:tab w:val="right" w:leader="dot" w:pos="9016"/>
            </w:tabs>
            <w:rPr>
              <w:noProof/>
            </w:rPr>
          </w:pPr>
          <w:hyperlink w:anchor="_Toc232184191" w:history="1">
            <w:r w:rsidRPr="004D60BE">
              <w:rPr>
                <w:rStyle w:val="Hyperlink"/>
                <w:noProof/>
              </w:rPr>
              <w:t>2.2 Explainable AI: Foundations and Methods</w:t>
            </w:r>
            <w:r>
              <w:rPr>
                <w:noProof/>
              </w:rPr>
              <w:tab/>
            </w:r>
            <w:r>
              <w:rPr>
                <w:noProof/>
              </w:rPr>
              <w:fldChar w:fldCharType="begin"/>
            </w:r>
            <w:r>
              <w:rPr>
                <w:noProof/>
              </w:rPr>
              <w:instrText xml:space="preserve"> PAGEREF _Toc232184191 \h </w:instrText>
            </w:r>
            <w:r>
              <w:rPr>
                <w:noProof/>
              </w:rPr>
            </w:r>
            <w:r>
              <w:rPr>
                <w:noProof/>
              </w:rPr>
              <w:fldChar w:fldCharType="separate"/>
            </w:r>
            <w:r w:rsidR="00275A87">
              <w:rPr>
                <w:noProof/>
              </w:rPr>
              <w:t>6</w:t>
            </w:r>
            <w:r>
              <w:rPr>
                <w:noProof/>
              </w:rPr>
              <w:fldChar w:fldCharType="end"/>
            </w:r>
          </w:hyperlink>
        </w:p>
        <w:p w14:paraId="36057C36" w14:textId="5491A88B" w:rsidR="002C2501" w:rsidRDefault="002C2501">
          <w:pPr>
            <w:pStyle w:val="TOC2"/>
            <w:tabs>
              <w:tab w:val="right" w:leader="dot" w:pos="9016"/>
            </w:tabs>
            <w:rPr>
              <w:noProof/>
            </w:rPr>
          </w:pPr>
          <w:hyperlink w:anchor="_Toc232184192" w:history="1">
            <w:r w:rsidRPr="004D60BE">
              <w:rPr>
                <w:rStyle w:val="Hyperlink"/>
                <w:noProof/>
              </w:rPr>
              <w:t>2.3 The Disagreement Problem in Explainable Machine Learning</w:t>
            </w:r>
            <w:r>
              <w:rPr>
                <w:noProof/>
              </w:rPr>
              <w:tab/>
            </w:r>
            <w:r>
              <w:rPr>
                <w:noProof/>
              </w:rPr>
              <w:fldChar w:fldCharType="begin"/>
            </w:r>
            <w:r>
              <w:rPr>
                <w:noProof/>
              </w:rPr>
              <w:instrText xml:space="preserve"> PAGEREF _Toc232184192 \h </w:instrText>
            </w:r>
            <w:r>
              <w:rPr>
                <w:noProof/>
              </w:rPr>
            </w:r>
            <w:r>
              <w:rPr>
                <w:noProof/>
              </w:rPr>
              <w:fldChar w:fldCharType="separate"/>
            </w:r>
            <w:r w:rsidR="00275A87">
              <w:rPr>
                <w:noProof/>
              </w:rPr>
              <w:t>7</w:t>
            </w:r>
            <w:r>
              <w:rPr>
                <w:noProof/>
              </w:rPr>
              <w:fldChar w:fldCharType="end"/>
            </w:r>
          </w:hyperlink>
        </w:p>
        <w:p w14:paraId="0B7AFC43" w14:textId="3E3E2B07" w:rsidR="002C2501" w:rsidRDefault="002C2501">
          <w:pPr>
            <w:pStyle w:val="TOC2"/>
            <w:tabs>
              <w:tab w:val="right" w:leader="dot" w:pos="9016"/>
            </w:tabs>
            <w:rPr>
              <w:noProof/>
            </w:rPr>
          </w:pPr>
          <w:hyperlink w:anchor="_Toc232184193" w:history="1">
            <w:r w:rsidRPr="004D60BE">
              <w:rPr>
                <w:rStyle w:val="Hyperlink"/>
                <w:noProof/>
              </w:rPr>
              <w:t>2.4 Explainability Applied to Telecom Churn</w:t>
            </w:r>
            <w:r>
              <w:rPr>
                <w:noProof/>
              </w:rPr>
              <w:tab/>
            </w:r>
            <w:r>
              <w:rPr>
                <w:noProof/>
              </w:rPr>
              <w:fldChar w:fldCharType="begin"/>
            </w:r>
            <w:r>
              <w:rPr>
                <w:noProof/>
              </w:rPr>
              <w:instrText xml:space="preserve"> PAGEREF _Toc232184193 \h </w:instrText>
            </w:r>
            <w:r>
              <w:rPr>
                <w:noProof/>
              </w:rPr>
            </w:r>
            <w:r>
              <w:rPr>
                <w:noProof/>
              </w:rPr>
              <w:fldChar w:fldCharType="separate"/>
            </w:r>
            <w:r w:rsidR="00275A87">
              <w:rPr>
                <w:noProof/>
              </w:rPr>
              <w:t>7</w:t>
            </w:r>
            <w:r>
              <w:rPr>
                <w:noProof/>
              </w:rPr>
              <w:fldChar w:fldCharType="end"/>
            </w:r>
          </w:hyperlink>
        </w:p>
        <w:p w14:paraId="082C4540" w14:textId="559EF785" w:rsidR="002C2501" w:rsidRDefault="002C2501">
          <w:pPr>
            <w:pStyle w:val="TOC2"/>
            <w:tabs>
              <w:tab w:val="right" w:leader="dot" w:pos="9016"/>
            </w:tabs>
            <w:rPr>
              <w:noProof/>
            </w:rPr>
          </w:pPr>
          <w:hyperlink w:anchor="_Toc232184194" w:history="1">
            <w:r w:rsidRPr="004D60BE">
              <w:rPr>
                <w:rStyle w:val="Hyperlink"/>
                <w:noProof/>
              </w:rPr>
              <w:t>2.5 Ethics, Fairness, and Deployment of Explainable Churn Models</w:t>
            </w:r>
            <w:r>
              <w:rPr>
                <w:noProof/>
              </w:rPr>
              <w:tab/>
            </w:r>
            <w:r>
              <w:rPr>
                <w:noProof/>
              </w:rPr>
              <w:fldChar w:fldCharType="begin"/>
            </w:r>
            <w:r>
              <w:rPr>
                <w:noProof/>
              </w:rPr>
              <w:instrText xml:space="preserve"> PAGEREF _Toc232184194 \h </w:instrText>
            </w:r>
            <w:r>
              <w:rPr>
                <w:noProof/>
              </w:rPr>
            </w:r>
            <w:r>
              <w:rPr>
                <w:noProof/>
              </w:rPr>
              <w:fldChar w:fldCharType="separate"/>
            </w:r>
            <w:r w:rsidR="00275A87">
              <w:rPr>
                <w:noProof/>
              </w:rPr>
              <w:t>8</w:t>
            </w:r>
            <w:r>
              <w:rPr>
                <w:noProof/>
              </w:rPr>
              <w:fldChar w:fldCharType="end"/>
            </w:r>
          </w:hyperlink>
        </w:p>
        <w:p w14:paraId="2569507D" w14:textId="326EEBDC" w:rsidR="002C2501" w:rsidRDefault="002C2501">
          <w:pPr>
            <w:pStyle w:val="TOC2"/>
            <w:tabs>
              <w:tab w:val="right" w:leader="dot" w:pos="9016"/>
            </w:tabs>
            <w:rPr>
              <w:noProof/>
            </w:rPr>
          </w:pPr>
          <w:hyperlink w:anchor="_Toc232184195" w:history="1">
            <w:r w:rsidRPr="004D60BE">
              <w:rPr>
                <w:rStyle w:val="Hyperlink"/>
                <w:noProof/>
              </w:rPr>
              <w:t>2.6 Synthesis: Why This Project?</w:t>
            </w:r>
            <w:r>
              <w:rPr>
                <w:noProof/>
              </w:rPr>
              <w:tab/>
            </w:r>
            <w:r>
              <w:rPr>
                <w:noProof/>
              </w:rPr>
              <w:fldChar w:fldCharType="begin"/>
            </w:r>
            <w:r>
              <w:rPr>
                <w:noProof/>
              </w:rPr>
              <w:instrText xml:space="preserve"> PAGEREF _Toc232184195 \h </w:instrText>
            </w:r>
            <w:r>
              <w:rPr>
                <w:noProof/>
              </w:rPr>
            </w:r>
            <w:r>
              <w:rPr>
                <w:noProof/>
              </w:rPr>
              <w:fldChar w:fldCharType="separate"/>
            </w:r>
            <w:r w:rsidR="00275A87">
              <w:rPr>
                <w:noProof/>
              </w:rPr>
              <w:t>8</w:t>
            </w:r>
            <w:r>
              <w:rPr>
                <w:noProof/>
              </w:rPr>
              <w:fldChar w:fldCharType="end"/>
            </w:r>
          </w:hyperlink>
        </w:p>
        <w:p w14:paraId="544193A4" w14:textId="1895C416" w:rsidR="002C2501" w:rsidRDefault="002C2501">
          <w:pPr>
            <w:pStyle w:val="TOC1"/>
            <w:tabs>
              <w:tab w:val="right" w:leader="dot" w:pos="9016"/>
            </w:tabs>
            <w:rPr>
              <w:noProof/>
            </w:rPr>
          </w:pPr>
          <w:hyperlink w:anchor="_Toc232184196" w:history="1">
            <w:r w:rsidRPr="004D60BE">
              <w:rPr>
                <w:rStyle w:val="Hyperlink"/>
                <w:noProof/>
              </w:rPr>
              <w:t>3. Research Methodology</w:t>
            </w:r>
            <w:r>
              <w:rPr>
                <w:noProof/>
              </w:rPr>
              <w:tab/>
            </w:r>
            <w:r>
              <w:rPr>
                <w:noProof/>
              </w:rPr>
              <w:fldChar w:fldCharType="begin"/>
            </w:r>
            <w:r>
              <w:rPr>
                <w:noProof/>
              </w:rPr>
              <w:instrText xml:space="preserve"> PAGEREF _Toc232184196 \h </w:instrText>
            </w:r>
            <w:r>
              <w:rPr>
                <w:noProof/>
              </w:rPr>
            </w:r>
            <w:r>
              <w:rPr>
                <w:noProof/>
              </w:rPr>
              <w:fldChar w:fldCharType="separate"/>
            </w:r>
            <w:r w:rsidR="00275A87">
              <w:rPr>
                <w:noProof/>
              </w:rPr>
              <w:t>9</w:t>
            </w:r>
            <w:r>
              <w:rPr>
                <w:noProof/>
              </w:rPr>
              <w:fldChar w:fldCharType="end"/>
            </w:r>
          </w:hyperlink>
        </w:p>
        <w:p w14:paraId="72C9D850" w14:textId="6AB75867" w:rsidR="002C2501" w:rsidRDefault="002C2501">
          <w:pPr>
            <w:pStyle w:val="TOC2"/>
            <w:tabs>
              <w:tab w:val="right" w:leader="dot" w:pos="9016"/>
            </w:tabs>
            <w:rPr>
              <w:noProof/>
            </w:rPr>
          </w:pPr>
          <w:hyperlink w:anchor="_Toc232184197" w:history="1">
            <w:r w:rsidRPr="004D60BE">
              <w:rPr>
                <w:rStyle w:val="Hyperlink"/>
                <w:noProof/>
              </w:rPr>
              <w:t>3.1 Research Philosophy and Approach</w:t>
            </w:r>
            <w:r>
              <w:rPr>
                <w:noProof/>
              </w:rPr>
              <w:tab/>
            </w:r>
            <w:r>
              <w:rPr>
                <w:noProof/>
              </w:rPr>
              <w:fldChar w:fldCharType="begin"/>
            </w:r>
            <w:r>
              <w:rPr>
                <w:noProof/>
              </w:rPr>
              <w:instrText xml:space="preserve"> PAGEREF _Toc232184197 \h </w:instrText>
            </w:r>
            <w:r>
              <w:rPr>
                <w:noProof/>
              </w:rPr>
            </w:r>
            <w:r>
              <w:rPr>
                <w:noProof/>
              </w:rPr>
              <w:fldChar w:fldCharType="separate"/>
            </w:r>
            <w:r w:rsidR="00275A87">
              <w:rPr>
                <w:noProof/>
              </w:rPr>
              <w:t>9</w:t>
            </w:r>
            <w:r>
              <w:rPr>
                <w:noProof/>
              </w:rPr>
              <w:fldChar w:fldCharType="end"/>
            </w:r>
          </w:hyperlink>
        </w:p>
        <w:p w14:paraId="447C57D1" w14:textId="7791F674" w:rsidR="002C2501" w:rsidRDefault="002C2501">
          <w:pPr>
            <w:pStyle w:val="TOC2"/>
            <w:tabs>
              <w:tab w:val="right" w:leader="dot" w:pos="9016"/>
            </w:tabs>
            <w:rPr>
              <w:noProof/>
            </w:rPr>
          </w:pPr>
          <w:hyperlink w:anchor="_Toc232184198" w:history="1">
            <w:r w:rsidRPr="004D60BE">
              <w:rPr>
                <w:rStyle w:val="Hyperlink"/>
                <w:noProof/>
              </w:rPr>
              <w:t>3.2 Dataset</w:t>
            </w:r>
            <w:r>
              <w:rPr>
                <w:noProof/>
              </w:rPr>
              <w:tab/>
            </w:r>
            <w:r>
              <w:rPr>
                <w:noProof/>
              </w:rPr>
              <w:fldChar w:fldCharType="begin"/>
            </w:r>
            <w:r>
              <w:rPr>
                <w:noProof/>
              </w:rPr>
              <w:instrText xml:space="preserve"> PAGEREF _Toc232184198 \h </w:instrText>
            </w:r>
            <w:r>
              <w:rPr>
                <w:noProof/>
              </w:rPr>
            </w:r>
            <w:r>
              <w:rPr>
                <w:noProof/>
              </w:rPr>
              <w:fldChar w:fldCharType="separate"/>
            </w:r>
            <w:r w:rsidR="00275A87">
              <w:rPr>
                <w:noProof/>
              </w:rPr>
              <w:t>9</w:t>
            </w:r>
            <w:r>
              <w:rPr>
                <w:noProof/>
              </w:rPr>
              <w:fldChar w:fldCharType="end"/>
            </w:r>
          </w:hyperlink>
        </w:p>
        <w:p w14:paraId="7141D659" w14:textId="236F5E2B" w:rsidR="002C2501" w:rsidRDefault="002C2501">
          <w:pPr>
            <w:pStyle w:val="TOC2"/>
            <w:tabs>
              <w:tab w:val="right" w:leader="dot" w:pos="9016"/>
            </w:tabs>
            <w:rPr>
              <w:noProof/>
            </w:rPr>
          </w:pPr>
          <w:hyperlink w:anchor="_Toc232184199" w:history="1">
            <w:r w:rsidRPr="004D60BE">
              <w:rPr>
                <w:rStyle w:val="Hyperlink"/>
                <w:noProof/>
              </w:rPr>
              <w:t>3.3 Predictive Models</w:t>
            </w:r>
            <w:r>
              <w:rPr>
                <w:noProof/>
              </w:rPr>
              <w:tab/>
            </w:r>
            <w:r>
              <w:rPr>
                <w:noProof/>
              </w:rPr>
              <w:fldChar w:fldCharType="begin"/>
            </w:r>
            <w:r>
              <w:rPr>
                <w:noProof/>
              </w:rPr>
              <w:instrText xml:space="preserve"> PAGEREF _Toc232184199 \h </w:instrText>
            </w:r>
            <w:r>
              <w:rPr>
                <w:noProof/>
              </w:rPr>
            </w:r>
            <w:r>
              <w:rPr>
                <w:noProof/>
              </w:rPr>
              <w:fldChar w:fldCharType="separate"/>
            </w:r>
            <w:r w:rsidR="00275A87">
              <w:rPr>
                <w:noProof/>
              </w:rPr>
              <w:t>9</w:t>
            </w:r>
            <w:r>
              <w:rPr>
                <w:noProof/>
              </w:rPr>
              <w:fldChar w:fldCharType="end"/>
            </w:r>
          </w:hyperlink>
        </w:p>
        <w:p w14:paraId="05C903FB" w14:textId="79F73A99" w:rsidR="002C2501" w:rsidRDefault="002C2501">
          <w:pPr>
            <w:pStyle w:val="TOC3"/>
            <w:tabs>
              <w:tab w:val="right" w:leader="dot" w:pos="9016"/>
            </w:tabs>
            <w:rPr>
              <w:noProof/>
            </w:rPr>
          </w:pPr>
          <w:hyperlink w:anchor="_Toc232184200" w:history="1">
            <w:r w:rsidRPr="004D60BE">
              <w:rPr>
                <w:rStyle w:val="Hyperlink"/>
                <w:noProof/>
              </w:rPr>
              <w:t>3.3.1 Logistic Regression</w:t>
            </w:r>
            <w:r>
              <w:rPr>
                <w:noProof/>
              </w:rPr>
              <w:tab/>
            </w:r>
            <w:r>
              <w:rPr>
                <w:noProof/>
              </w:rPr>
              <w:fldChar w:fldCharType="begin"/>
            </w:r>
            <w:r>
              <w:rPr>
                <w:noProof/>
              </w:rPr>
              <w:instrText xml:space="preserve"> PAGEREF _Toc232184200 \h </w:instrText>
            </w:r>
            <w:r>
              <w:rPr>
                <w:noProof/>
              </w:rPr>
            </w:r>
            <w:r>
              <w:rPr>
                <w:noProof/>
              </w:rPr>
              <w:fldChar w:fldCharType="separate"/>
            </w:r>
            <w:r w:rsidR="00275A87">
              <w:rPr>
                <w:noProof/>
              </w:rPr>
              <w:t>9</w:t>
            </w:r>
            <w:r>
              <w:rPr>
                <w:noProof/>
              </w:rPr>
              <w:fldChar w:fldCharType="end"/>
            </w:r>
          </w:hyperlink>
        </w:p>
        <w:p w14:paraId="0BAA5A2D" w14:textId="5A661581" w:rsidR="002C2501" w:rsidRDefault="002C2501">
          <w:pPr>
            <w:pStyle w:val="TOC3"/>
            <w:tabs>
              <w:tab w:val="right" w:leader="dot" w:pos="9016"/>
            </w:tabs>
            <w:rPr>
              <w:noProof/>
            </w:rPr>
          </w:pPr>
          <w:hyperlink w:anchor="_Toc232184201" w:history="1">
            <w:r w:rsidRPr="004D60BE">
              <w:rPr>
                <w:rStyle w:val="Hyperlink"/>
                <w:noProof/>
              </w:rPr>
              <w:t>3.3.2 Random Forest</w:t>
            </w:r>
            <w:r>
              <w:rPr>
                <w:noProof/>
              </w:rPr>
              <w:tab/>
            </w:r>
            <w:r>
              <w:rPr>
                <w:noProof/>
              </w:rPr>
              <w:fldChar w:fldCharType="begin"/>
            </w:r>
            <w:r>
              <w:rPr>
                <w:noProof/>
              </w:rPr>
              <w:instrText xml:space="preserve"> PAGEREF _Toc232184201 \h </w:instrText>
            </w:r>
            <w:r>
              <w:rPr>
                <w:noProof/>
              </w:rPr>
            </w:r>
            <w:r>
              <w:rPr>
                <w:noProof/>
              </w:rPr>
              <w:fldChar w:fldCharType="separate"/>
            </w:r>
            <w:r w:rsidR="00275A87">
              <w:rPr>
                <w:noProof/>
              </w:rPr>
              <w:t>9</w:t>
            </w:r>
            <w:r>
              <w:rPr>
                <w:noProof/>
              </w:rPr>
              <w:fldChar w:fldCharType="end"/>
            </w:r>
          </w:hyperlink>
        </w:p>
        <w:p w14:paraId="21522759" w14:textId="3E76A805" w:rsidR="002C2501" w:rsidRDefault="002C2501">
          <w:pPr>
            <w:pStyle w:val="TOC3"/>
            <w:tabs>
              <w:tab w:val="right" w:leader="dot" w:pos="9016"/>
            </w:tabs>
            <w:rPr>
              <w:noProof/>
            </w:rPr>
          </w:pPr>
          <w:hyperlink w:anchor="_Toc232184202" w:history="1">
            <w:r w:rsidRPr="004D60BE">
              <w:rPr>
                <w:rStyle w:val="Hyperlink"/>
                <w:noProof/>
              </w:rPr>
              <w:t>3.3.3 XGBoost</w:t>
            </w:r>
            <w:r>
              <w:rPr>
                <w:noProof/>
              </w:rPr>
              <w:tab/>
            </w:r>
            <w:r>
              <w:rPr>
                <w:noProof/>
              </w:rPr>
              <w:fldChar w:fldCharType="begin"/>
            </w:r>
            <w:r>
              <w:rPr>
                <w:noProof/>
              </w:rPr>
              <w:instrText xml:space="preserve"> PAGEREF _Toc232184202 \h </w:instrText>
            </w:r>
            <w:r>
              <w:rPr>
                <w:noProof/>
              </w:rPr>
            </w:r>
            <w:r>
              <w:rPr>
                <w:noProof/>
              </w:rPr>
              <w:fldChar w:fldCharType="separate"/>
            </w:r>
            <w:r w:rsidR="00275A87">
              <w:rPr>
                <w:noProof/>
              </w:rPr>
              <w:t>10</w:t>
            </w:r>
            <w:r>
              <w:rPr>
                <w:noProof/>
              </w:rPr>
              <w:fldChar w:fldCharType="end"/>
            </w:r>
          </w:hyperlink>
        </w:p>
        <w:p w14:paraId="67BC413E" w14:textId="727CCA80" w:rsidR="002C2501" w:rsidRDefault="002C2501">
          <w:pPr>
            <w:pStyle w:val="TOC3"/>
            <w:tabs>
              <w:tab w:val="right" w:leader="dot" w:pos="9016"/>
            </w:tabs>
            <w:rPr>
              <w:noProof/>
            </w:rPr>
          </w:pPr>
          <w:hyperlink w:anchor="_Toc232184203" w:history="1">
            <w:r w:rsidRPr="004D60BE">
              <w:rPr>
                <w:rStyle w:val="Hyperlink"/>
                <w:noProof/>
              </w:rPr>
              <w:t>3.3.4 Hyperparameter Tuning, Validation, and Evaluation Metrics</w:t>
            </w:r>
            <w:r>
              <w:rPr>
                <w:noProof/>
              </w:rPr>
              <w:tab/>
            </w:r>
            <w:r>
              <w:rPr>
                <w:noProof/>
              </w:rPr>
              <w:fldChar w:fldCharType="begin"/>
            </w:r>
            <w:r>
              <w:rPr>
                <w:noProof/>
              </w:rPr>
              <w:instrText xml:space="preserve"> PAGEREF _Toc232184203 \h </w:instrText>
            </w:r>
            <w:r>
              <w:rPr>
                <w:noProof/>
              </w:rPr>
            </w:r>
            <w:r>
              <w:rPr>
                <w:noProof/>
              </w:rPr>
              <w:fldChar w:fldCharType="separate"/>
            </w:r>
            <w:r w:rsidR="00275A87">
              <w:rPr>
                <w:noProof/>
              </w:rPr>
              <w:t>10</w:t>
            </w:r>
            <w:r>
              <w:rPr>
                <w:noProof/>
              </w:rPr>
              <w:fldChar w:fldCharType="end"/>
            </w:r>
          </w:hyperlink>
        </w:p>
        <w:p w14:paraId="3C1FE567" w14:textId="76114EFF" w:rsidR="002C2501" w:rsidRDefault="002C2501">
          <w:pPr>
            <w:pStyle w:val="TOC2"/>
            <w:tabs>
              <w:tab w:val="right" w:leader="dot" w:pos="9016"/>
            </w:tabs>
            <w:rPr>
              <w:noProof/>
            </w:rPr>
          </w:pPr>
          <w:hyperlink w:anchor="_Toc232184204" w:history="1">
            <w:r w:rsidRPr="004D60BE">
              <w:rPr>
                <w:rStyle w:val="Hyperlink"/>
                <w:noProof/>
              </w:rPr>
              <w:t>3.4 Explainability Methods</w:t>
            </w:r>
            <w:r>
              <w:rPr>
                <w:noProof/>
              </w:rPr>
              <w:tab/>
            </w:r>
            <w:r>
              <w:rPr>
                <w:noProof/>
              </w:rPr>
              <w:fldChar w:fldCharType="begin"/>
            </w:r>
            <w:r>
              <w:rPr>
                <w:noProof/>
              </w:rPr>
              <w:instrText xml:space="preserve"> PAGEREF _Toc232184204 \h </w:instrText>
            </w:r>
            <w:r>
              <w:rPr>
                <w:noProof/>
              </w:rPr>
            </w:r>
            <w:r>
              <w:rPr>
                <w:noProof/>
              </w:rPr>
              <w:fldChar w:fldCharType="separate"/>
            </w:r>
            <w:r w:rsidR="00275A87">
              <w:rPr>
                <w:noProof/>
              </w:rPr>
              <w:t>10</w:t>
            </w:r>
            <w:r>
              <w:rPr>
                <w:noProof/>
              </w:rPr>
              <w:fldChar w:fldCharType="end"/>
            </w:r>
          </w:hyperlink>
        </w:p>
        <w:p w14:paraId="2EB08041" w14:textId="41BE9406" w:rsidR="002C2501" w:rsidRDefault="002C2501">
          <w:pPr>
            <w:pStyle w:val="TOC3"/>
            <w:tabs>
              <w:tab w:val="right" w:leader="dot" w:pos="9016"/>
            </w:tabs>
            <w:rPr>
              <w:noProof/>
            </w:rPr>
          </w:pPr>
          <w:hyperlink w:anchor="_Toc232184205" w:history="1">
            <w:r w:rsidRPr="004D60BE">
              <w:rPr>
                <w:rStyle w:val="Hyperlink"/>
                <w:noProof/>
              </w:rPr>
              <w:t>3.4.1 SHAP (SHapley Additive exPlanations)</w:t>
            </w:r>
            <w:r>
              <w:rPr>
                <w:noProof/>
              </w:rPr>
              <w:tab/>
            </w:r>
            <w:r>
              <w:rPr>
                <w:noProof/>
              </w:rPr>
              <w:fldChar w:fldCharType="begin"/>
            </w:r>
            <w:r>
              <w:rPr>
                <w:noProof/>
              </w:rPr>
              <w:instrText xml:space="preserve"> PAGEREF _Toc232184205 \h </w:instrText>
            </w:r>
            <w:r>
              <w:rPr>
                <w:noProof/>
              </w:rPr>
            </w:r>
            <w:r>
              <w:rPr>
                <w:noProof/>
              </w:rPr>
              <w:fldChar w:fldCharType="separate"/>
            </w:r>
            <w:r w:rsidR="00275A87">
              <w:rPr>
                <w:noProof/>
              </w:rPr>
              <w:t>10</w:t>
            </w:r>
            <w:r>
              <w:rPr>
                <w:noProof/>
              </w:rPr>
              <w:fldChar w:fldCharType="end"/>
            </w:r>
          </w:hyperlink>
        </w:p>
        <w:p w14:paraId="4434FD4D" w14:textId="37CBA17B" w:rsidR="002C2501" w:rsidRDefault="002C2501">
          <w:pPr>
            <w:pStyle w:val="TOC3"/>
            <w:tabs>
              <w:tab w:val="right" w:leader="dot" w:pos="9016"/>
            </w:tabs>
            <w:rPr>
              <w:noProof/>
            </w:rPr>
          </w:pPr>
          <w:hyperlink w:anchor="_Toc232184206" w:history="1">
            <w:r w:rsidRPr="004D60BE">
              <w:rPr>
                <w:rStyle w:val="Hyperlink"/>
                <w:noProof/>
              </w:rPr>
              <w:t>3.4.2 LIME (Local Interpretable Model-agnostic Explanations)</w:t>
            </w:r>
            <w:r>
              <w:rPr>
                <w:noProof/>
              </w:rPr>
              <w:tab/>
            </w:r>
            <w:r>
              <w:rPr>
                <w:noProof/>
              </w:rPr>
              <w:fldChar w:fldCharType="begin"/>
            </w:r>
            <w:r>
              <w:rPr>
                <w:noProof/>
              </w:rPr>
              <w:instrText xml:space="preserve"> PAGEREF _Toc232184206 \h </w:instrText>
            </w:r>
            <w:r>
              <w:rPr>
                <w:noProof/>
              </w:rPr>
            </w:r>
            <w:r>
              <w:rPr>
                <w:noProof/>
              </w:rPr>
              <w:fldChar w:fldCharType="separate"/>
            </w:r>
            <w:r w:rsidR="00275A87">
              <w:rPr>
                <w:noProof/>
              </w:rPr>
              <w:t>10</w:t>
            </w:r>
            <w:r>
              <w:rPr>
                <w:noProof/>
              </w:rPr>
              <w:fldChar w:fldCharType="end"/>
            </w:r>
          </w:hyperlink>
        </w:p>
        <w:p w14:paraId="3FE65BF3" w14:textId="5BF56DFB" w:rsidR="002C2501" w:rsidRDefault="002C2501">
          <w:pPr>
            <w:pStyle w:val="TOC2"/>
            <w:tabs>
              <w:tab w:val="right" w:leader="dot" w:pos="9016"/>
            </w:tabs>
            <w:rPr>
              <w:noProof/>
            </w:rPr>
          </w:pPr>
          <w:hyperlink w:anchor="_Toc232184207" w:history="1">
            <w:r w:rsidRPr="004D60BE">
              <w:rPr>
                <w:rStyle w:val="Hyperlink"/>
                <w:noProof/>
              </w:rPr>
              <w:t>3.5 Quantitative Evaluation of Explanations</w:t>
            </w:r>
            <w:r>
              <w:rPr>
                <w:noProof/>
              </w:rPr>
              <w:tab/>
            </w:r>
            <w:r>
              <w:rPr>
                <w:noProof/>
              </w:rPr>
              <w:fldChar w:fldCharType="begin"/>
            </w:r>
            <w:r>
              <w:rPr>
                <w:noProof/>
              </w:rPr>
              <w:instrText xml:space="preserve"> PAGEREF _Toc232184207 \h </w:instrText>
            </w:r>
            <w:r>
              <w:rPr>
                <w:noProof/>
              </w:rPr>
            </w:r>
            <w:r>
              <w:rPr>
                <w:noProof/>
              </w:rPr>
              <w:fldChar w:fldCharType="separate"/>
            </w:r>
            <w:r w:rsidR="00275A87">
              <w:rPr>
                <w:noProof/>
              </w:rPr>
              <w:t>10</w:t>
            </w:r>
            <w:r>
              <w:rPr>
                <w:noProof/>
              </w:rPr>
              <w:fldChar w:fldCharType="end"/>
            </w:r>
          </w:hyperlink>
        </w:p>
        <w:p w14:paraId="03623F1D" w14:textId="36BEF3BC" w:rsidR="002C2501" w:rsidRDefault="002C2501">
          <w:pPr>
            <w:pStyle w:val="TOC3"/>
            <w:tabs>
              <w:tab w:val="right" w:leader="dot" w:pos="9016"/>
            </w:tabs>
            <w:rPr>
              <w:noProof/>
            </w:rPr>
          </w:pPr>
          <w:hyperlink w:anchor="_Toc232184208" w:history="1">
            <w:r w:rsidRPr="004D60BE">
              <w:rPr>
                <w:rStyle w:val="Hyperlink"/>
                <w:noProof/>
              </w:rPr>
              <w:t>3.5.1 Fidelity</w:t>
            </w:r>
            <w:r>
              <w:rPr>
                <w:noProof/>
              </w:rPr>
              <w:tab/>
            </w:r>
            <w:r>
              <w:rPr>
                <w:noProof/>
              </w:rPr>
              <w:fldChar w:fldCharType="begin"/>
            </w:r>
            <w:r>
              <w:rPr>
                <w:noProof/>
              </w:rPr>
              <w:instrText xml:space="preserve"> PAGEREF _Toc232184208 \h </w:instrText>
            </w:r>
            <w:r>
              <w:rPr>
                <w:noProof/>
              </w:rPr>
            </w:r>
            <w:r>
              <w:rPr>
                <w:noProof/>
              </w:rPr>
              <w:fldChar w:fldCharType="separate"/>
            </w:r>
            <w:r w:rsidR="00275A87">
              <w:rPr>
                <w:noProof/>
              </w:rPr>
              <w:t>10</w:t>
            </w:r>
            <w:r>
              <w:rPr>
                <w:noProof/>
              </w:rPr>
              <w:fldChar w:fldCharType="end"/>
            </w:r>
          </w:hyperlink>
        </w:p>
        <w:p w14:paraId="6B1BFA19" w14:textId="50765D4D" w:rsidR="002C2501" w:rsidRDefault="002C2501">
          <w:pPr>
            <w:pStyle w:val="TOC3"/>
            <w:tabs>
              <w:tab w:val="right" w:leader="dot" w:pos="9016"/>
            </w:tabs>
            <w:rPr>
              <w:noProof/>
            </w:rPr>
          </w:pPr>
          <w:hyperlink w:anchor="_Toc232184209" w:history="1">
            <w:r w:rsidRPr="004D60BE">
              <w:rPr>
                <w:rStyle w:val="Hyperlink"/>
                <w:noProof/>
              </w:rPr>
              <w:t>3.5.2 Stability</w:t>
            </w:r>
            <w:r>
              <w:rPr>
                <w:noProof/>
              </w:rPr>
              <w:tab/>
            </w:r>
            <w:r>
              <w:rPr>
                <w:noProof/>
              </w:rPr>
              <w:fldChar w:fldCharType="begin"/>
            </w:r>
            <w:r>
              <w:rPr>
                <w:noProof/>
              </w:rPr>
              <w:instrText xml:space="preserve"> PAGEREF _Toc232184209 \h </w:instrText>
            </w:r>
            <w:r>
              <w:rPr>
                <w:noProof/>
              </w:rPr>
            </w:r>
            <w:r>
              <w:rPr>
                <w:noProof/>
              </w:rPr>
              <w:fldChar w:fldCharType="separate"/>
            </w:r>
            <w:r w:rsidR="00275A87">
              <w:rPr>
                <w:noProof/>
              </w:rPr>
              <w:t>10</w:t>
            </w:r>
            <w:r>
              <w:rPr>
                <w:noProof/>
              </w:rPr>
              <w:fldChar w:fldCharType="end"/>
            </w:r>
          </w:hyperlink>
        </w:p>
        <w:p w14:paraId="2B5684A0" w14:textId="075FD610" w:rsidR="002C2501" w:rsidRDefault="002C2501">
          <w:pPr>
            <w:pStyle w:val="TOC3"/>
            <w:tabs>
              <w:tab w:val="right" w:leader="dot" w:pos="9016"/>
            </w:tabs>
            <w:rPr>
              <w:noProof/>
            </w:rPr>
          </w:pPr>
          <w:hyperlink w:anchor="_Toc232184210" w:history="1">
            <w:r w:rsidRPr="004D60BE">
              <w:rPr>
                <w:rStyle w:val="Hyperlink"/>
                <w:noProof/>
              </w:rPr>
              <w:t>3.5.3 Sparsity</w:t>
            </w:r>
            <w:r>
              <w:rPr>
                <w:noProof/>
              </w:rPr>
              <w:tab/>
            </w:r>
            <w:r>
              <w:rPr>
                <w:noProof/>
              </w:rPr>
              <w:fldChar w:fldCharType="begin"/>
            </w:r>
            <w:r>
              <w:rPr>
                <w:noProof/>
              </w:rPr>
              <w:instrText xml:space="preserve"> PAGEREF _Toc232184210 \h </w:instrText>
            </w:r>
            <w:r>
              <w:rPr>
                <w:noProof/>
              </w:rPr>
            </w:r>
            <w:r>
              <w:rPr>
                <w:noProof/>
              </w:rPr>
              <w:fldChar w:fldCharType="separate"/>
            </w:r>
            <w:r w:rsidR="00275A87">
              <w:rPr>
                <w:noProof/>
              </w:rPr>
              <w:t>11</w:t>
            </w:r>
            <w:r>
              <w:rPr>
                <w:noProof/>
              </w:rPr>
              <w:fldChar w:fldCharType="end"/>
            </w:r>
          </w:hyperlink>
        </w:p>
        <w:p w14:paraId="312AA533" w14:textId="6133D2D0" w:rsidR="002C2501" w:rsidRDefault="002C2501">
          <w:pPr>
            <w:pStyle w:val="TOC3"/>
            <w:tabs>
              <w:tab w:val="right" w:leader="dot" w:pos="9016"/>
            </w:tabs>
            <w:rPr>
              <w:noProof/>
            </w:rPr>
          </w:pPr>
          <w:hyperlink w:anchor="_Toc232184211" w:history="1">
            <w:r w:rsidRPr="004D60BE">
              <w:rPr>
                <w:rStyle w:val="Hyperlink"/>
                <w:noProof/>
              </w:rPr>
              <w:t>3.5.4 Inter-method Agreement</w:t>
            </w:r>
            <w:r>
              <w:rPr>
                <w:noProof/>
              </w:rPr>
              <w:tab/>
            </w:r>
            <w:r>
              <w:rPr>
                <w:noProof/>
              </w:rPr>
              <w:fldChar w:fldCharType="begin"/>
            </w:r>
            <w:r>
              <w:rPr>
                <w:noProof/>
              </w:rPr>
              <w:instrText xml:space="preserve"> PAGEREF _Toc232184211 \h </w:instrText>
            </w:r>
            <w:r>
              <w:rPr>
                <w:noProof/>
              </w:rPr>
            </w:r>
            <w:r>
              <w:rPr>
                <w:noProof/>
              </w:rPr>
              <w:fldChar w:fldCharType="separate"/>
            </w:r>
            <w:r w:rsidR="00275A87">
              <w:rPr>
                <w:noProof/>
              </w:rPr>
              <w:t>11</w:t>
            </w:r>
            <w:r>
              <w:rPr>
                <w:noProof/>
              </w:rPr>
              <w:fldChar w:fldCharType="end"/>
            </w:r>
          </w:hyperlink>
        </w:p>
        <w:p w14:paraId="4C105C69" w14:textId="48635F1F" w:rsidR="002C2501" w:rsidRDefault="002C2501">
          <w:pPr>
            <w:pStyle w:val="TOC2"/>
            <w:tabs>
              <w:tab w:val="right" w:leader="dot" w:pos="9016"/>
            </w:tabs>
            <w:rPr>
              <w:noProof/>
            </w:rPr>
          </w:pPr>
          <w:hyperlink w:anchor="_Toc232184212" w:history="1">
            <w:r w:rsidRPr="004D60BE">
              <w:rPr>
                <w:rStyle w:val="Hyperlink"/>
                <w:noProof/>
              </w:rPr>
              <w:t>3.6 SHAP-Based Churn Segmentation</w:t>
            </w:r>
            <w:r>
              <w:rPr>
                <w:noProof/>
              </w:rPr>
              <w:tab/>
            </w:r>
            <w:r>
              <w:rPr>
                <w:noProof/>
              </w:rPr>
              <w:fldChar w:fldCharType="begin"/>
            </w:r>
            <w:r>
              <w:rPr>
                <w:noProof/>
              </w:rPr>
              <w:instrText xml:space="preserve"> PAGEREF _Toc232184212 \h </w:instrText>
            </w:r>
            <w:r>
              <w:rPr>
                <w:noProof/>
              </w:rPr>
            </w:r>
            <w:r>
              <w:rPr>
                <w:noProof/>
              </w:rPr>
              <w:fldChar w:fldCharType="separate"/>
            </w:r>
            <w:r w:rsidR="00275A87">
              <w:rPr>
                <w:noProof/>
              </w:rPr>
              <w:t>11</w:t>
            </w:r>
            <w:r>
              <w:rPr>
                <w:noProof/>
              </w:rPr>
              <w:fldChar w:fldCharType="end"/>
            </w:r>
          </w:hyperlink>
        </w:p>
        <w:p w14:paraId="2AB5FB8B" w14:textId="1EBEC1FD" w:rsidR="002C2501" w:rsidRDefault="002C2501">
          <w:pPr>
            <w:pStyle w:val="TOC2"/>
            <w:tabs>
              <w:tab w:val="right" w:leader="dot" w:pos="9016"/>
            </w:tabs>
            <w:rPr>
              <w:noProof/>
            </w:rPr>
          </w:pPr>
          <w:hyperlink w:anchor="_Toc232184213" w:history="1">
            <w:r w:rsidRPr="004D60BE">
              <w:rPr>
                <w:rStyle w:val="Hyperlink"/>
                <w:noProof/>
              </w:rPr>
              <w:t>3.7 Streamlit Application</w:t>
            </w:r>
            <w:r>
              <w:rPr>
                <w:noProof/>
              </w:rPr>
              <w:tab/>
            </w:r>
            <w:r>
              <w:rPr>
                <w:noProof/>
              </w:rPr>
              <w:fldChar w:fldCharType="begin"/>
            </w:r>
            <w:r>
              <w:rPr>
                <w:noProof/>
              </w:rPr>
              <w:instrText xml:space="preserve"> PAGEREF _Toc232184213 \h </w:instrText>
            </w:r>
            <w:r>
              <w:rPr>
                <w:noProof/>
              </w:rPr>
            </w:r>
            <w:r>
              <w:rPr>
                <w:noProof/>
              </w:rPr>
              <w:fldChar w:fldCharType="separate"/>
            </w:r>
            <w:r w:rsidR="00275A87">
              <w:rPr>
                <w:noProof/>
              </w:rPr>
              <w:t>11</w:t>
            </w:r>
            <w:r>
              <w:rPr>
                <w:noProof/>
              </w:rPr>
              <w:fldChar w:fldCharType="end"/>
            </w:r>
          </w:hyperlink>
        </w:p>
        <w:p w14:paraId="227FBD58" w14:textId="79793DD4" w:rsidR="002C2501" w:rsidRDefault="002C2501">
          <w:pPr>
            <w:pStyle w:val="TOC2"/>
            <w:tabs>
              <w:tab w:val="right" w:leader="dot" w:pos="9016"/>
            </w:tabs>
            <w:rPr>
              <w:noProof/>
            </w:rPr>
          </w:pPr>
          <w:hyperlink w:anchor="_Toc232184214" w:history="1">
            <w:r w:rsidRPr="004D60BE">
              <w:rPr>
                <w:rStyle w:val="Hyperlink"/>
                <w:noProof/>
              </w:rPr>
              <w:t>3.8 Ethical Considerations</w:t>
            </w:r>
            <w:r>
              <w:rPr>
                <w:noProof/>
              </w:rPr>
              <w:tab/>
            </w:r>
            <w:r>
              <w:rPr>
                <w:noProof/>
              </w:rPr>
              <w:fldChar w:fldCharType="begin"/>
            </w:r>
            <w:r>
              <w:rPr>
                <w:noProof/>
              </w:rPr>
              <w:instrText xml:space="preserve"> PAGEREF _Toc232184214 \h </w:instrText>
            </w:r>
            <w:r>
              <w:rPr>
                <w:noProof/>
              </w:rPr>
            </w:r>
            <w:r>
              <w:rPr>
                <w:noProof/>
              </w:rPr>
              <w:fldChar w:fldCharType="separate"/>
            </w:r>
            <w:r w:rsidR="00275A87">
              <w:rPr>
                <w:noProof/>
              </w:rPr>
              <w:t>11</w:t>
            </w:r>
            <w:r>
              <w:rPr>
                <w:noProof/>
              </w:rPr>
              <w:fldChar w:fldCharType="end"/>
            </w:r>
          </w:hyperlink>
        </w:p>
        <w:p w14:paraId="198F9524" w14:textId="04329322" w:rsidR="002C2501" w:rsidRDefault="002C2501">
          <w:pPr>
            <w:pStyle w:val="TOC2"/>
            <w:tabs>
              <w:tab w:val="right" w:leader="dot" w:pos="9016"/>
            </w:tabs>
            <w:rPr>
              <w:noProof/>
            </w:rPr>
          </w:pPr>
          <w:hyperlink w:anchor="_Toc232184215" w:history="1">
            <w:r w:rsidRPr="004D60BE">
              <w:rPr>
                <w:rStyle w:val="Hyperlink"/>
                <w:noProof/>
              </w:rPr>
              <w:t>3.9 Tools, Environment, and Reproducibility</w:t>
            </w:r>
            <w:r>
              <w:rPr>
                <w:noProof/>
              </w:rPr>
              <w:tab/>
            </w:r>
            <w:r>
              <w:rPr>
                <w:noProof/>
              </w:rPr>
              <w:fldChar w:fldCharType="begin"/>
            </w:r>
            <w:r>
              <w:rPr>
                <w:noProof/>
              </w:rPr>
              <w:instrText xml:space="preserve"> PAGEREF _Toc232184215 \h </w:instrText>
            </w:r>
            <w:r>
              <w:rPr>
                <w:noProof/>
              </w:rPr>
            </w:r>
            <w:r>
              <w:rPr>
                <w:noProof/>
              </w:rPr>
              <w:fldChar w:fldCharType="separate"/>
            </w:r>
            <w:r w:rsidR="00275A87">
              <w:rPr>
                <w:noProof/>
              </w:rPr>
              <w:t>12</w:t>
            </w:r>
            <w:r>
              <w:rPr>
                <w:noProof/>
              </w:rPr>
              <w:fldChar w:fldCharType="end"/>
            </w:r>
          </w:hyperlink>
        </w:p>
        <w:p w14:paraId="34593416" w14:textId="6369678A" w:rsidR="002C2501" w:rsidRDefault="002C2501">
          <w:pPr>
            <w:pStyle w:val="TOC1"/>
            <w:tabs>
              <w:tab w:val="right" w:leader="dot" w:pos="9016"/>
            </w:tabs>
            <w:rPr>
              <w:noProof/>
            </w:rPr>
          </w:pPr>
          <w:hyperlink w:anchor="_Toc232184216" w:history="1">
            <w:r w:rsidRPr="004D60BE">
              <w:rPr>
                <w:rStyle w:val="Hyperlink"/>
                <w:noProof/>
              </w:rPr>
              <w:t>4. Timetable and Risk Management</w:t>
            </w:r>
            <w:r>
              <w:rPr>
                <w:noProof/>
              </w:rPr>
              <w:tab/>
            </w:r>
            <w:r>
              <w:rPr>
                <w:noProof/>
              </w:rPr>
              <w:fldChar w:fldCharType="begin"/>
            </w:r>
            <w:r>
              <w:rPr>
                <w:noProof/>
              </w:rPr>
              <w:instrText xml:space="preserve"> PAGEREF _Toc232184216 \h </w:instrText>
            </w:r>
            <w:r>
              <w:rPr>
                <w:noProof/>
              </w:rPr>
            </w:r>
            <w:r>
              <w:rPr>
                <w:noProof/>
              </w:rPr>
              <w:fldChar w:fldCharType="separate"/>
            </w:r>
            <w:r w:rsidR="00275A87">
              <w:rPr>
                <w:noProof/>
              </w:rPr>
              <w:t>13</w:t>
            </w:r>
            <w:r>
              <w:rPr>
                <w:noProof/>
              </w:rPr>
              <w:fldChar w:fldCharType="end"/>
            </w:r>
          </w:hyperlink>
        </w:p>
        <w:p w14:paraId="5D2FF7B2" w14:textId="2C223EFF" w:rsidR="002C2501" w:rsidRDefault="002C2501">
          <w:pPr>
            <w:pStyle w:val="TOC2"/>
            <w:tabs>
              <w:tab w:val="right" w:leader="dot" w:pos="9016"/>
            </w:tabs>
            <w:rPr>
              <w:noProof/>
            </w:rPr>
          </w:pPr>
          <w:hyperlink w:anchor="_Toc232184217" w:history="1">
            <w:r w:rsidRPr="004D60BE">
              <w:rPr>
                <w:rStyle w:val="Hyperlink"/>
                <w:noProof/>
              </w:rPr>
              <w:t>4.1 Project Timeline</w:t>
            </w:r>
            <w:r>
              <w:rPr>
                <w:noProof/>
              </w:rPr>
              <w:tab/>
            </w:r>
            <w:r>
              <w:rPr>
                <w:noProof/>
              </w:rPr>
              <w:fldChar w:fldCharType="begin"/>
            </w:r>
            <w:r>
              <w:rPr>
                <w:noProof/>
              </w:rPr>
              <w:instrText xml:space="preserve"> PAGEREF _Toc232184217 \h </w:instrText>
            </w:r>
            <w:r>
              <w:rPr>
                <w:noProof/>
              </w:rPr>
            </w:r>
            <w:r>
              <w:rPr>
                <w:noProof/>
              </w:rPr>
              <w:fldChar w:fldCharType="separate"/>
            </w:r>
            <w:r w:rsidR="00275A87">
              <w:rPr>
                <w:noProof/>
              </w:rPr>
              <w:t>13</w:t>
            </w:r>
            <w:r>
              <w:rPr>
                <w:noProof/>
              </w:rPr>
              <w:fldChar w:fldCharType="end"/>
            </w:r>
          </w:hyperlink>
        </w:p>
        <w:p w14:paraId="143E615A" w14:textId="3ED1D93B" w:rsidR="002C2501" w:rsidRDefault="002C2501">
          <w:pPr>
            <w:pStyle w:val="TOC2"/>
            <w:tabs>
              <w:tab w:val="right" w:leader="dot" w:pos="9016"/>
            </w:tabs>
            <w:rPr>
              <w:noProof/>
            </w:rPr>
          </w:pPr>
          <w:hyperlink w:anchor="_Toc232184218" w:history="1">
            <w:r w:rsidRPr="004D60BE">
              <w:rPr>
                <w:rStyle w:val="Hyperlink"/>
                <w:noProof/>
              </w:rPr>
              <w:t>4.2 Risk Register</w:t>
            </w:r>
            <w:r>
              <w:rPr>
                <w:noProof/>
              </w:rPr>
              <w:tab/>
            </w:r>
            <w:r>
              <w:rPr>
                <w:noProof/>
              </w:rPr>
              <w:fldChar w:fldCharType="begin"/>
            </w:r>
            <w:r>
              <w:rPr>
                <w:noProof/>
              </w:rPr>
              <w:instrText xml:space="preserve"> PAGEREF _Toc232184218 \h </w:instrText>
            </w:r>
            <w:r>
              <w:rPr>
                <w:noProof/>
              </w:rPr>
            </w:r>
            <w:r>
              <w:rPr>
                <w:noProof/>
              </w:rPr>
              <w:fldChar w:fldCharType="separate"/>
            </w:r>
            <w:r w:rsidR="00275A87">
              <w:rPr>
                <w:noProof/>
              </w:rPr>
              <w:t>13</w:t>
            </w:r>
            <w:r>
              <w:rPr>
                <w:noProof/>
              </w:rPr>
              <w:fldChar w:fldCharType="end"/>
            </w:r>
          </w:hyperlink>
        </w:p>
        <w:p w14:paraId="38296C93" w14:textId="4EE3F7DF" w:rsidR="002C2501" w:rsidRDefault="002C2501">
          <w:pPr>
            <w:pStyle w:val="TOC1"/>
            <w:tabs>
              <w:tab w:val="right" w:leader="dot" w:pos="9016"/>
            </w:tabs>
            <w:rPr>
              <w:noProof/>
            </w:rPr>
          </w:pPr>
          <w:hyperlink w:anchor="_Toc232184219" w:history="1">
            <w:r w:rsidRPr="004D60BE">
              <w:rPr>
                <w:rStyle w:val="Hyperlink"/>
                <w:noProof/>
              </w:rPr>
              <w:t>References</w:t>
            </w:r>
            <w:r>
              <w:rPr>
                <w:noProof/>
              </w:rPr>
              <w:tab/>
            </w:r>
            <w:r>
              <w:rPr>
                <w:noProof/>
              </w:rPr>
              <w:fldChar w:fldCharType="begin"/>
            </w:r>
            <w:r>
              <w:rPr>
                <w:noProof/>
              </w:rPr>
              <w:instrText xml:space="preserve"> PAGEREF _Toc232184219 \h </w:instrText>
            </w:r>
            <w:r>
              <w:rPr>
                <w:noProof/>
              </w:rPr>
            </w:r>
            <w:r>
              <w:rPr>
                <w:noProof/>
              </w:rPr>
              <w:fldChar w:fldCharType="separate"/>
            </w:r>
            <w:r w:rsidR="00275A87">
              <w:rPr>
                <w:noProof/>
              </w:rPr>
              <w:t>15</w:t>
            </w:r>
            <w:r>
              <w:rPr>
                <w:noProof/>
              </w:rPr>
              <w:fldChar w:fldCharType="end"/>
            </w:r>
          </w:hyperlink>
        </w:p>
        <w:p w14:paraId="283703B1" w14:textId="77777777" w:rsidR="00A50B08" w:rsidRDefault="0093381D">
          <w:r>
            <w:fldChar w:fldCharType="end"/>
          </w:r>
        </w:p>
      </w:sdtContent>
    </w:sdt>
    <w:p w14:paraId="6195714B" w14:textId="77777777" w:rsidR="00A50B08" w:rsidRDefault="0093381D">
      <w:pPr>
        <w:spacing w:before="240"/>
      </w:pPr>
      <w:r>
        <w:rPr>
          <w:i/>
          <w:iCs/>
          <w:color w:val="6B7280"/>
          <w:sz w:val="20"/>
          <w:szCs w:val="20"/>
        </w:rPr>
        <w:t>» Right-click the table of contents above in Word and choose ‘Update Field’ once you have finished writing to populate it automatically.</w:t>
      </w:r>
    </w:p>
    <w:p w14:paraId="3D283BD6" w14:textId="77777777" w:rsidR="00A50B08" w:rsidRDefault="0093381D">
      <w:r>
        <w:br w:type="page"/>
      </w:r>
    </w:p>
    <w:p w14:paraId="4B8C68AB" w14:textId="77777777" w:rsidR="00A50B08" w:rsidRDefault="0093381D">
      <w:pPr>
        <w:pStyle w:val="Heading1"/>
      </w:pPr>
      <w:bookmarkStart w:id="1" w:name="_Toc232184183"/>
      <w:r>
        <w:lastRenderedPageBreak/>
        <w:t>1. Introduction</w:t>
      </w:r>
      <w:bookmarkEnd w:id="1"/>
    </w:p>
    <w:p w14:paraId="3FC8704F" w14:textId="77777777" w:rsidR="00A50B08" w:rsidRDefault="0093381D">
      <w:pPr>
        <w:pStyle w:val="Heading2"/>
      </w:pPr>
      <w:bookmarkStart w:id="2" w:name="_Toc232184184"/>
      <w:r>
        <w:t xml:space="preserve">1.1 </w:t>
      </w:r>
      <w:r>
        <w:t>Context</w:t>
      </w:r>
      <w:bookmarkEnd w:id="2"/>
    </w:p>
    <w:p w14:paraId="4AC615FE" w14:textId="04C5661C" w:rsidR="00A50B08" w:rsidRPr="002C2501" w:rsidRDefault="002C2501" w:rsidP="00B944FA">
      <w:pPr>
        <w:spacing w:after="60"/>
        <w:ind w:left="360" w:firstLine="360"/>
        <w:jc w:val="both"/>
        <w:rPr>
          <w:color w:val="000000" w:themeColor="text1"/>
          <w:sz w:val="28"/>
          <w:szCs w:val="28"/>
        </w:rPr>
      </w:pPr>
      <w:r w:rsidRPr="002C2501">
        <w:rPr>
          <w:color w:val="000000" w:themeColor="text1"/>
          <w:sz w:val="22"/>
          <w:szCs w:val="22"/>
        </w:rPr>
        <w:t xml:space="preserve">Customer churn is among the most financially damaging challenges facing the global telecommunications industry. Annual churn rates in the sector range between 20% and 40%, with the cost of acquiring a new subscriber estimated at five to seven times the cost of retaining an existing one (Verbeke et al., 2012). This economic asymmetry has driven sustained investment in predictive modelling, where machine learning classifiers — particularly ensemble methods such as </w:t>
      </w:r>
      <w:proofErr w:type="spellStart"/>
      <w:r w:rsidRPr="002C2501">
        <w:rPr>
          <w:color w:val="000000" w:themeColor="text1"/>
          <w:sz w:val="22"/>
          <w:szCs w:val="22"/>
        </w:rPr>
        <w:t>XGBoost</w:t>
      </w:r>
      <w:proofErr w:type="spellEnd"/>
      <w:r w:rsidRPr="002C2501">
        <w:rPr>
          <w:color w:val="000000" w:themeColor="text1"/>
          <w:sz w:val="22"/>
          <w:szCs w:val="22"/>
        </w:rPr>
        <w:t xml:space="preserve"> and Random Forest — now routinely achieve AUC scores above 0.85 on standard benchmark datasets (El Attar and El-Hajj, 2026; Imani et al., 2025). These models can identify which customers are likely to leave with considerable accuracy, enabling operators to </w:t>
      </w:r>
      <w:proofErr w:type="spellStart"/>
      <w:r w:rsidRPr="002C2501">
        <w:rPr>
          <w:color w:val="000000" w:themeColor="text1"/>
          <w:sz w:val="22"/>
          <w:szCs w:val="22"/>
        </w:rPr>
        <w:t>prioritise</w:t>
      </w:r>
      <w:proofErr w:type="spellEnd"/>
      <w:r w:rsidRPr="002C2501">
        <w:rPr>
          <w:color w:val="000000" w:themeColor="text1"/>
          <w:sz w:val="22"/>
          <w:szCs w:val="22"/>
        </w:rPr>
        <w:t xml:space="preserve"> retention resources more efficiently than traditional rule-based approaches. Yet accuracy alone does not translate into action. A marketing team presented with a ranked list of at-risk customers but no explanation of the drivers behind each prediction faces a decision problem, not a decision support tool. However, accurate prediction is no longer enough.</w:t>
      </w:r>
    </w:p>
    <w:p w14:paraId="2C469AB3" w14:textId="77777777" w:rsidR="00A50B08" w:rsidRDefault="0093381D">
      <w:pPr>
        <w:pStyle w:val="Heading2"/>
      </w:pPr>
      <w:bookmarkStart w:id="3" w:name="_Toc232184185"/>
      <w:r>
        <w:t>1</w:t>
      </w:r>
      <w:r>
        <w:t>.2 The Challenge</w:t>
      </w:r>
      <w:bookmarkEnd w:id="3"/>
    </w:p>
    <w:p w14:paraId="34B38920" w14:textId="277F11FE" w:rsidR="00A50B08" w:rsidRPr="002C2501" w:rsidRDefault="002C2501" w:rsidP="00B944FA">
      <w:pPr>
        <w:spacing w:after="60"/>
        <w:ind w:left="360" w:firstLine="360"/>
        <w:jc w:val="both"/>
        <w:rPr>
          <w:color w:val="000000" w:themeColor="text1"/>
          <w:sz w:val="28"/>
          <w:szCs w:val="28"/>
        </w:rPr>
      </w:pPr>
      <w:r w:rsidRPr="002C2501">
        <w:rPr>
          <w:color w:val="000000" w:themeColor="text1"/>
          <w:sz w:val="22"/>
          <w:szCs w:val="22"/>
        </w:rPr>
        <w:t>The core challenge is that the models which perform best are also the least interpretable. Gradient-boosted ensembles and deep learning classifiers operate as "black boxes," producing predictions without any human-readable justification for why a particular customer was flagged as a likely churner (</w:t>
      </w:r>
      <w:proofErr w:type="spellStart"/>
      <w:r w:rsidRPr="002C2501">
        <w:rPr>
          <w:color w:val="000000" w:themeColor="text1"/>
          <w:sz w:val="22"/>
          <w:szCs w:val="22"/>
        </w:rPr>
        <w:t>Adadi</w:t>
      </w:r>
      <w:proofErr w:type="spellEnd"/>
      <w:r w:rsidRPr="002C2501">
        <w:rPr>
          <w:color w:val="000000" w:themeColor="text1"/>
          <w:sz w:val="22"/>
          <w:szCs w:val="22"/>
        </w:rPr>
        <w:t xml:space="preserve"> and Berrada, 2018). This opacity creates two distinct problems. First, it undermines the practical utility of the model: marketers cannot design a targeted retention intervention — a loyalty discount, a contract renegotiation, a proactive service call — without understanding what is driving the churn risk for a given customer (Rudin, 2019). Second, it creates a growing regulatory exposure. GDPR Article 22 establishes a right to meaningful information about the logic of automated decisions affecting individuals, and the EU AI Act (2024) introduces additional transparency obligations for AI systems deployed in consumer-facing contexts (Wachter, Mittelstadt and Russell, 2018). Telecom churn models that inform pricing, outreach, or service decisions fall squarely within this regulatory scope.</w:t>
      </w:r>
    </w:p>
    <w:p w14:paraId="66A06764" w14:textId="77777777" w:rsidR="00A50B08" w:rsidRDefault="0093381D">
      <w:pPr>
        <w:pStyle w:val="Heading2"/>
      </w:pPr>
      <w:bookmarkStart w:id="4" w:name="_Toc232184186"/>
      <w:r>
        <w:t>1</w:t>
      </w:r>
      <w:r>
        <w:t>.3 Aims and Preliminary Thesis</w:t>
      </w:r>
      <w:bookmarkEnd w:id="4"/>
    </w:p>
    <w:p w14:paraId="505D7F70" w14:textId="77777777" w:rsidR="002C2501" w:rsidRPr="002C2501" w:rsidRDefault="002C2501" w:rsidP="002C2501">
      <w:pPr>
        <w:spacing w:after="60"/>
        <w:ind w:left="360"/>
        <w:jc w:val="both"/>
        <w:rPr>
          <w:color w:val="000000" w:themeColor="text1"/>
          <w:sz w:val="22"/>
          <w:szCs w:val="22"/>
        </w:rPr>
      </w:pPr>
      <w:r w:rsidRPr="002C2501">
        <w:rPr>
          <w:color w:val="000000" w:themeColor="text1"/>
          <w:sz w:val="22"/>
          <w:szCs w:val="22"/>
        </w:rPr>
        <w:t>This dissertation pursues three specific aims:</w:t>
      </w:r>
    </w:p>
    <w:p w14:paraId="2DEEC6F4" w14:textId="77777777" w:rsidR="002C2501" w:rsidRPr="002C2501" w:rsidRDefault="002C2501" w:rsidP="002C2501">
      <w:pPr>
        <w:numPr>
          <w:ilvl w:val="0"/>
          <w:numId w:val="2"/>
        </w:numPr>
        <w:spacing w:after="60"/>
        <w:jc w:val="both"/>
        <w:rPr>
          <w:color w:val="000000" w:themeColor="text1"/>
          <w:sz w:val="22"/>
          <w:szCs w:val="22"/>
        </w:rPr>
      </w:pPr>
      <w:r w:rsidRPr="002C2501">
        <w:rPr>
          <w:b/>
          <w:bCs/>
          <w:color w:val="000000" w:themeColor="text1"/>
          <w:sz w:val="22"/>
          <w:szCs w:val="22"/>
        </w:rPr>
        <w:t>Benchmark three churn prediction models</w:t>
      </w:r>
      <w:r w:rsidRPr="002C2501">
        <w:rPr>
          <w:color w:val="000000" w:themeColor="text1"/>
          <w:sz w:val="22"/>
          <w:szCs w:val="22"/>
        </w:rPr>
        <w:t xml:space="preserve"> — Logistic Regression, Random Forest, and </w:t>
      </w:r>
      <w:proofErr w:type="spellStart"/>
      <w:r w:rsidRPr="002C2501">
        <w:rPr>
          <w:color w:val="000000" w:themeColor="text1"/>
          <w:sz w:val="22"/>
          <w:szCs w:val="22"/>
        </w:rPr>
        <w:t>XGBoost</w:t>
      </w:r>
      <w:proofErr w:type="spellEnd"/>
      <w:r w:rsidRPr="002C2501">
        <w:rPr>
          <w:color w:val="000000" w:themeColor="text1"/>
          <w:sz w:val="22"/>
          <w:szCs w:val="22"/>
        </w:rPr>
        <w:t xml:space="preserve"> — on the Cell2Cell telecom dataset, establishing an accuracy-to-explainability spectrum from an inherently interpretable baseline (Logistic Regression) through to a high-performing but opaque ensemble (</w:t>
      </w:r>
      <w:proofErr w:type="spellStart"/>
      <w:r w:rsidRPr="002C2501">
        <w:rPr>
          <w:color w:val="000000" w:themeColor="text1"/>
          <w:sz w:val="22"/>
          <w:szCs w:val="22"/>
        </w:rPr>
        <w:t>XGBoost</w:t>
      </w:r>
      <w:proofErr w:type="spellEnd"/>
      <w:r w:rsidRPr="002C2501">
        <w:rPr>
          <w:color w:val="000000" w:themeColor="text1"/>
          <w:sz w:val="22"/>
          <w:szCs w:val="22"/>
        </w:rPr>
        <w:t>).</w:t>
      </w:r>
    </w:p>
    <w:p w14:paraId="3C533B42" w14:textId="77777777" w:rsidR="002C2501" w:rsidRPr="002C2501" w:rsidRDefault="002C2501" w:rsidP="002C2501">
      <w:pPr>
        <w:numPr>
          <w:ilvl w:val="0"/>
          <w:numId w:val="2"/>
        </w:numPr>
        <w:spacing w:after="60"/>
        <w:jc w:val="both"/>
        <w:rPr>
          <w:color w:val="000000" w:themeColor="text1"/>
          <w:sz w:val="22"/>
          <w:szCs w:val="22"/>
        </w:rPr>
      </w:pPr>
      <w:r w:rsidRPr="002C2501">
        <w:rPr>
          <w:b/>
          <w:bCs/>
          <w:color w:val="000000" w:themeColor="text1"/>
          <w:sz w:val="22"/>
          <w:szCs w:val="22"/>
        </w:rPr>
        <w:t>Systematically compare SHAP and LIME</w:t>
      </w:r>
      <w:r w:rsidRPr="002C2501">
        <w:rPr>
          <w:color w:val="000000" w:themeColor="text1"/>
          <w:sz w:val="22"/>
          <w:szCs w:val="22"/>
        </w:rPr>
        <w:t xml:space="preserve"> as post-hoc explanation methods applied to the best-performing model, evaluating their outputs across four metrics: fidelity (how accurately the explanation reflects true model </w:t>
      </w:r>
      <w:proofErr w:type="spellStart"/>
      <w:r w:rsidRPr="002C2501">
        <w:rPr>
          <w:color w:val="000000" w:themeColor="text1"/>
          <w:sz w:val="22"/>
          <w:szCs w:val="22"/>
        </w:rPr>
        <w:t>behaviour</w:t>
      </w:r>
      <w:proofErr w:type="spellEnd"/>
      <w:r w:rsidRPr="002C2501">
        <w:rPr>
          <w:color w:val="000000" w:themeColor="text1"/>
          <w:sz w:val="22"/>
          <w:szCs w:val="22"/>
        </w:rPr>
        <w:t>), stability (whether similar inputs produce similar explanations), sparsity (whether explanations highlight a concise set of actionable features), and agreement (whether the two methods identify the same features as important for the same prediction).</w:t>
      </w:r>
    </w:p>
    <w:p w14:paraId="60152ACA" w14:textId="77777777" w:rsidR="002C2501" w:rsidRPr="002C2501" w:rsidRDefault="002C2501" w:rsidP="002C2501">
      <w:pPr>
        <w:numPr>
          <w:ilvl w:val="0"/>
          <w:numId w:val="2"/>
        </w:numPr>
        <w:spacing w:after="60"/>
        <w:jc w:val="both"/>
        <w:rPr>
          <w:color w:val="000000" w:themeColor="text1"/>
          <w:sz w:val="22"/>
          <w:szCs w:val="22"/>
        </w:rPr>
      </w:pPr>
      <w:r w:rsidRPr="002C2501">
        <w:rPr>
          <w:b/>
          <w:bCs/>
          <w:color w:val="000000" w:themeColor="text1"/>
          <w:sz w:val="22"/>
          <w:szCs w:val="22"/>
        </w:rPr>
        <w:t>Derive marketer-actionable insight</w:t>
      </w:r>
      <w:r w:rsidRPr="002C2501">
        <w:rPr>
          <w:color w:val="000000" w:themeColor="text1"/>
          <w:sz w:val="22"/>
          <w:szCs w:val="22"/>
        </w:rPr>
        <w:t xml:space="preserve"> by clustering churners based on their SHAP feature-value vectors using k-means, producing </w:t>
      </w:r>
      <w:proofErr w:type="spellStart"/>
      <w:r w:rsidRPr="002C2501">
        <w:rPr>
          <w:color w:val="000000" w:themeColor="text1"/>
          <w:sz w:val="22"/>
          <w:szCs w:val="22"/>
        </w:rPr>
        <w:t>behaviourally</w:t>
      </w:r>
      <w:proofErr w:type="spellEnd"/>
      <w:r w:rsidRPr="002C2501">
        <w:rPr>
          <w:color w:val="000000" w:themeColor="text1"/>
          <w:sz w:val="22"/>
          <w:szCs w:val="22"/>
        </w:rPr>
        <w:t xml:space="preserve"> distinct churn segments that map directly </w:t>
      </w:r>
      <w:proofErr w:type="gramStart"/>
      <w:r w:rsidRPr="002C2501">
        <w:rPr>
          <w:color w:val="000000" w:themeColor="text1"/>
          <w:sz w:val="22"/>
          <w:szCs w:val="22"/>
        </w:rPr>
        <w:t>to differentiated</w:t>
      </w:r>
      <w:proofErr w:type="gramEnd"/>
      <w:r w:rsidRPr="002C2501">
        <w:rPr>
          <w:color w:val="000000" w:themeColor="text1"/>
          <w:sz w:val="22"/>
          <w:szCs w:val="22"/>
        </w:rPr>
        <w:t xml:space="preserve"> retention strategies.</w:t>
      </w:r>
    </w:p>
    <w:p w14:paraId="27178317" w14:textId="77777777" w:rsidR="002C2501" w:rsidRPr="002C2501" w:rsidRDefault="002C2501" w:rsidP="002C2501">
      <w:pPr>
        <w:spacing w:after="60"/>
        <w:ind w:left="360"/>
        <w:jc w:val="both"/>
        <w:rPr>
          <w:color w:val="000000" w:themeColor="text1"/>
          <w:sz w:val="22"/>
          <w:szCs w:val="22"/>
        </w:rPr>
      </w:pPr>
      <w:r w:rsidRPr="002C2501">
        <w:rPr>
          <w:color w:val="000000" w:themeColor="text1"/>
          <w:sz w:val="22"/>
          <w:szCs w:val="22"/>
        </w:rPr>
        <w:t>The preliminary thesis is that SHAP will demonstrate superior global consistency, stability, and segmentation utility due to its game-theoretic foundation, while LIME will offer stronger local fidelity for individual customer explanations. Neither method alone will prove sufficient for a production-ready marketer decision support framework — motivating the hybrid, segmentation-enhanced approach this project develops.</w:t>
      </w:r>
    </w:p>
    <w:p w14:paraId="7EE9AC64" w14:textId="77777777" w:rsidR="002C2501" w:rsidRDefault="002C2501">
      <w:pPr>
        <w:pStyle w:val="Heading2"/>
      </w:pPr>
      <w:bookmarkStart w:id="5" w:name="_Toc232184187"/>
    </w:p>
    <w:p w14:paraId="694E61AF" w14:textId="2C457015" w:rsidR="00A50B08" w:rsidRDefault="0093381D">
      <w:pPr>
        <w:pStyle w:val="Heading2"/>
      </w:pPr>
      <w:r>
        <w:t>1.4 Proposed Methodology Overview</w:t>
      </w:r>
      <w:bookmarkEnd w:id="5"/>
    </w:p>
    <w:p w14:paraId="72EF74A3" w14:textId="725E6939" w:rsidR="00A50B08" w:rsidRPr="002C2501" w:rsidRDefault="002C2501" w:rsidP="00B944FA">
      <w:pPr>
        <w:spacing w:after="60"/>
        <w:ind w:left="360" w:firstLine="360"/>
        <w:jc w:val="both"/>
        <w:rPr>
          <w:color w:val="000000" w:themeColor="text1"/>
          <w:sz w:val="28"/>
          <w:szCs w:val="28"/>
        </w:rPr>
      </w:pPr>
      <w:r w:rsidRPr="002C2501">
        <w:rPr>
          <w:color w:val="000000" w:themeColor="text1"/>
          <w:sz w:val="22"/>
          <w:szCs w:val="22"/>
        </w:rPr>
        <w:t xml:space="preserve">The project follows a quantitative, experimental design built on the Cell2Cell dataset, a publicly available telecom churn dataset originating from Duke University comprising 71,047 customer records across 58 attributes. The dataset will be split 70/30 into training and test sets, with SMOTE applied exclusively to the training partition to address class imbalance without contaminating evaluation. Three </w:t>
      </w:r>
      <w:proofErr w:type="gramStart"/>
      <w:r w:rsidRPr="002C2501">
        <w:rPr>
          <w:color w:val="000000" w:themeColor="text1"/>
          <w:sz w:val="22"/>
          <w:szCs w:val="22"/>
        </w:rPr>
        <w:t xml:space="preserve">classifiers — </w:t>
      </w:r>
      <w:proofErr w:type="gramEnd"/>
      <w:r w:rsidRPr="002C2501">
        <w:rPr>
          <w:color w:val="000000" w:themeColor="text1"/>
          <w:sz w:val="22"/>
          <w:szCs w:val="22"/>
        </w:rPr>
        <w:t xml:space="preserve">Logistic </w:t>
      </w:r>
      <w:proofErr w:type="gramStart"/>
      <w:r w:rsidRPr="002C2501">
        <w:rPr>
          <w:color w:val="000000" w:themeColor="text1"/>
          <w:sz w:val="22"/>
          <w:szCs w:val="22"/>
        </w:rPr>
        <w:t>Regression</w:t>
      </w:r>
      <w:proofErr w:type="gramEnd"/>
      <w:r w:rsidRPr="002C2501">
        <w:rPr>
          <w:color w:val="000000" w:themeColor="text1"/>
          <w:sz w:val="22"/>
          <w:szCs w:val="22"/>
        </w:rPr>
        <w:t xml:space="preserve">, Random Forest, and </w:t>
      </w:r>
      <w:proofErr w:type="spellStart"/>
      <w:r w:rsidRPr="002C2501">
        <w:rPr>
          <w:color w:val="000000" w:themeColor="text1"/>
          <w:sz w:val="22"/>
          <w:szCs w:val="22"/>
        </w:rPr>
        <w:t>XGBoost</w:t>
      </w:r>
      <w:proofErr w:type="spellEnd"/>
      <w:r w:rsidRPr="002C2501">
        <w:rPr>
          <w:color w:val="000000" w:themeColor="text1"/>
          <w:sz w:val="22"/>
          <w:szCs w:val="22"/>
        </w:rPr>
        <w:t xml:space="preserve"> — will be trained and evaluated using accuracy, precision, recall, F1-score, and AUC-ROC. SHAP and LIME will then be applied to the best-performing model, and their outputs compared across the </w:t>
      </w:r>
      <w:proofErr w:type="gramStart"/>
      <w:r w:rsidRPr="002C2501">
        <w:rPr>
          <w:color w:val="000000" w:themeColor="text1"/>
          <w:sz w:val="22"/>
          <w:szCs w:val="22"/>
        </w:rPr>
        <w:t>four evaluation</w:t>
      </w:r>
      <w:proofErr w:type="gramEnd"/>
      <w:r w:rsidRPr="002C2501">
        <w:rPr>
          <w:color w:val="000000" w:themeColor="text1"/>
          <w:sz w:val="22"/>
          <w:szCs w:val="22"/>
        </w:rPr>
        <w:t xml:space="preserve"> metrics defined in Aim 2. A SHAP-based k-means clustering step will segment churners into distinct </w:t>
      </w:r>
      <w:proofErr w:type="spellStart"/>
      <w:r w:rsidRPr="002C2501">
        <w:rPr>
          <w:color w:val="000000" w:themeColor="text1"/>
          <w:sz w:val="22"/>
          <w:szCs w:val="22"/>
        </w:rPr>
        <w:t>behavioural</w:t>
      </w:r>
      <w:proofErr w:type="spellEnd"/>
      <w:r w:rsidRPr="002C2501">
        <w:rPr>
          <w:color w:val="000000" w:themeColor="text1"/>
          <w:sz w:val="22"/>
          <w:szCs w:val="22"/>
        </w:rPr>
        <w:t xml:space="preserve"> profiles, each mapped to a recommended retention action. Finally, a </w:t>
      </w:r>
      <w:proofErr w:type="spellStart"/>
      <w:r w:rsidRPr="002C2501">
        <w:rPr>
          <w:color w:val="000000" w:themeColor="text1"/>
          <w:sz w:val="22"/>
          <w:szCs w:val="22"/>
        </w:rPr>
        <w:t>Streamlit</w:t>
      </w:r>
      <w:proofErr w:type="spellEnd"/>
      <w:r w:rsidRPr="002C2501">
        <w:rPr>
          <w:color w:val="000000" w:themeColor="text1"/>
          <w:sz w:val="22"/>
          <w:szCs w:val="22"/>
        </w:rPr>
        <w:t xml:space="preserve"> demonstration tool will be developed to allow non-technical users to input customer attributes and receive a churn prediction alongside an interactive SHAP or LIME explanation. Section 4 details each stage fully.</w:t>
      </w:r>
    </w:p>
    <w:p w14:paraId="675A770A" w14:textId="77777777" w:rsidR="00A50B08" w:rsidRDefault="0093381D">
      <w:pPr>
        <w:pStyle w:val="Heading2"/>
      </w:pPr>
      <w:bookmarkStart w:id="6" w:name="_Toc232184188"/>
      <w:r>
        <w:t>1</w:t>
      </w:r>
      <w:r>
        <w:t>.5 Why This Project, How It Improves on Prior Work</w:t>
      </w:r>
      <w:bookmarkEnd w:id="6"/>
    </w:p>
    <w:p w14:paraId="0ABE015E" w14:textId="3A129F2E" w:rsidR="00A50B08" w:rsidRPr="002C2501" w:rsidRDefault="002C2501" w:rsidP="00B944FA">
      <w:pPr>
        <w:spacing w:after="60"/>
        <w:ind w:left="360" w:firstLine="360"/>
        <w:jc w:val="both"/>
        <w:rPr>
          <w:color w:val="000000" w:themeColor="text1"/>
          <w:sz w:val="28"/>
          <w:szCs w:val="28"/>
        </w:rPr>
      </w:pPr>
      <w:r w:rsidRPr="002C2501">
        <w:rPr>
          <w:color w:val="000000" w:themeColor="text1"/>
          <w:sz w:val="22"/>
          <w:szCs w:val="22"/>
        </w:rPr>
        <w:t xml:space="preserve">Existing studies in telecom churn prediction have typically applied XAI methods in isolation. El Attar and El-Hajj (2026) applied SHAP to an </w:t>
      </w:r>
      <w:proofErr w:type="spellStart"/>
      <w:r w:rsidRPr="002C2501">
        <w:rPr>
          <w:color w:val="000000" w:themeColor="text1"/>
          <w:sz w:val="22"/>
          <w:szCs w:val="22"/>
        </w:rPr>
        <w:t>XGBoost</w:t>
      </w:r>
      <w:proofErr w:type="spellEnd"/>
      <w:r w:rsidRPr="002C2501">
        <w:rPr>
          <w:color w:val="000000" w:themeColor="text1"/>
          <w:sz w:val="22"/>
          <w:szCs w:val="22"/>
        </w:rPr>
        <w:t xml:space="preserve"> model on the IBM Telco dataset, producing feature importance rankings — but did not compare SHAP against an alternative method, leaving the reliability of those rankings untested. More broadly, Krishna et al. (2022) demonstrated that popular explanation methods frequently disagree on feature rankings for the same prediction, raising serious questions about which explanations marketers should trust. This project </w:t>
      </w:r>
      <w:proofErr w:type="gramStart"/>
      <w:r w:rsidRPr="002C2501">
        <w:rPr>
          <w:color w:val="000000" w:themeColor="text1"/>
          <w:sz w:val="22"/>
          <w:szCs w:val="22"/>
        </w:rPr>
        <w:t>improves on</w:t>
      </w:r>
      <w:proofErr w:type="gramEnd"/>
      <w:r w:rsidRPr="002C2501">
        <w:rPr>
          <w:color w:val="000000" w:themeColor="text1"/>
          <w:sz w:val="22"/>
          <w:szCs w:val="22"/>
        </w:rPr>
        <w:t xml:space="preserve"> prior work in three ways. First, it introduces a head-to-head comparison of SHAP and LIME using a structured four-metric evaluation framework rather than relying on visual inspection alone. Second, it extends explanation outputs into a segmentation layer that translates feature-level insights into marketer-actionable retention strategies. Third, it </w:t>
      </w:r>
      <w:proofErr w:type="spellStart"/>
      <w:r w:rsidRPr="002C2501">
        <w:rPr>
          <w:color w:val="000000" w:themeColor="text1"/>
          <w:sz w:val="22"/>
          <w:szCs w:val="22"/>
        </w:rPr>
        <w:t>operationalises</w:t>
      </w:r>
      <w:proofErr w:type="spellEnd"/>
      <w:r w:rsidRPr="002C2501">
        <w:rPr>
          <w:color w:val="000000" w:themeColor="text1"/>
          <w:sz w:val="22"/>
          <w:szCs w:val="22"/>
        </w:rPr>
        <w:t xml:space="preserve"> the framework through an interactive </w:t>
      </w:r>
      <w:proofErr w:type="spellStart"/>
      <w:r w:rsidRPr="002C2501">
        <w:rPr>
          <w:color w:val="000000" w:themeColor="text1"/>
          <w:sz w:val="22"/>
          <w:szCs w:val="22"/>
        </w:rPr>
        <w:t>Streamlit</w:t>
      </w:r>
      <w:proofErr w:type="spellEnd"/>
      <w:r w:rsidRPr="002C2501">
        <w:rPr>
          <w:color w:val="000000" w:themeColor="text1"/>
          <w:sz w:val="22"/>
          <w:szCs w:val="22"/>
        </w:rPr>
        <w:t xml:space="preserve"> tool, bridging the gap between research output and practical deployment. Section 2.6 expands on these contributions within the full literature review.</w:t>
      </w:r>
    </w:p>
    <w:p w14:paraId="3647383C" w14:textId="77777777" w:rsidR="00A50B08" w:rsidRDefault="0093381D">
      <w:r>
        <w:br w:type="page"/>
      </w:r>
    </w:p>
    <w:p w14:paraId="65451B67" w14:textId="77777777" w:rsidR="00A50B08" w:rsidRDefault="0093381D">
      <w:pPr>
        <w:pStyle w:val="Heading1"/>
      </w:pPr>
      <w:bookmarkStart w:id="7" w:name="_Toc232184189"/>
      <w:r>
        <w:lastRenderedPageBreak/>
        <w:t>2. Literature Review</w:t>
      </w:r>
      <w:bookmarkEnd w:id="7"/>
    </w:p>
    <w:p w14:paraId="58AB9C60" w14:textId="77777777" w:rsidR="00A50B08" w:rsidRDefault="0093381D">
      <w:pPr>
        <w:pStyle w:val="Heading2"/>
      </w:pPr>
      <w:bookmarkStart w:id="8" w:name="_Toc232184190"/>
      <w:r>
        <w:t>2.1 Customer Churn Prediction in Telecommunications</w:t>
      </w:r>
      <w:bookmarkEnd w:id="8"/>
    </w:p>
    <w:p w14:paraId="02F70C26" w14:textId="74F324D7" w:rsidR="00B944FA" w:rsidRPr="00B944FA" w:rsidRDefault="00B944FA" w:rsidP="00B944FA">
      <w:pPr>
        <w:spacing w:after="60"/>
        <w:ind w:left="360" w:firstLine="360"/>
        <w:jc w:val="both"/>
        <w:rPr>
          <w:color w:val="000000" w:themeColor="text1"/>
          <w:sz w:val="22"/>
          <w:szCs w:val="22"/>
        </w:rPr>
      </w:pPr>
      <w:r w:rsidRPr="00B944FA">
        <w:rPr>
          <w:color w:val="000000" w:themeColor="text1"/>
          <w:sz w:val="22"/>
          <w:szCs w:val="22"/>
        </w:rPr>
        <w:t xml:space="preserve">The study of customer churn in telecommunications has passed through three distinct phases, each raising the ambition of what a prediction model is expected to deliver. The earliest approaches relied on statistical techniques — logistic regression and survival analysis — which offered interpretability but struggled with the high dimensionality and non-linear feature interactions typical of telecom datasets (Verbeke et al., 2012). The second wave introduced classical machine learning classifiers such as decision trees, support vector machines, and Naïve Bayes, which improved predictive accuracy but remained limited in their capacity to capture complex customer </w:t>
      </w:r>
      <w:proofErr w:type="spellStart"/>
      <w:r w:rsidRPr="00B944FA">
        <w:rPr>
          <w:color w:val="000000" w:themeColor="text1"/>
          <w:sz w:val="22"/>
          <w:szCs w:val="22"/>
        </w:rPr>
        <w:t>behaviours</w:t>
      </w:r>
      <w:proofErr w:type="spellEnd"/>
      <w:r w:rsidRPr="00B944FA">
        <w:rPr>
          <w:color w:val="000000" w:themeColor="text1"/>
          <w:sz w:val="22"/>
          <w:szCs w:val="22"/>
        </w:rPr>
        <w:t xml:space="preserve">. The third and current phase is dominated by ensemble methods. </w:t>
      </w:r>
      <w:proofErr w:type="spellStart"/>
      <w:r w:rsidRPr="00B944FA">
        <w:rPr>
          <w:color w:val="000000" w:themeColor="text1"/>
          <w:sz w:val="22"/>
          <w:szCs w:val="22"/>
        </w:rPr>
        <w:t>XGBoost</w:t>
      </w:r>
      <w:proofErr w:type="spellEnd"/>
      <w:r w:rsidRPr="00B944FA">
        <w:rPr>
          <w:color w:val="000000" w:themeColor="text1"/>
          <w:sz w:val="22"/>
          <w:szCs w:val="22"/>
        </w:rPr>
        <w:t>, Random Forest, and gradient-boosted decision trees now represent the standard toolkit, consistently outperforming earlier approaches on metrics such as AUC-ROC, precision, and recall across multiple telecom benchmarks (El Attar and El-Hajj, 2026; Imani et al., 2025).</w:t>
      </w:r>
    </w:p>
    <w:p w14:paraId="5A99CDF1" w14:textId="77777777" w:rsidR="00B944FA" w:rsidRPr="00B944FA" w:rsidRDefault="00B944FA" w:rsidP="00B944FA">
      <w:pPr>
        <w:spacing w:after="60"/>
        <w:ind w:left="360" w:firstLine="360"/>
        <w:jc w:val="both"/>
        <w:rPr>
          <w:color w:val="000000" w:themeColor="text1"/>
          <w:sz w:val="22"/>
          <w:szCs w:val="22"/>
        </w:rPr>
      </w:pPr>
      <w:r w:rsidRPr="00B944FA">
        <w:rPr>
          <w:color w:val="000000" w:themeColor="text1"/>
          <w:sz w:val="22"/>
          <w:szCs w:val="22"/>
        </w:rPr>
        <w:t xml:space="preserve">Yet this progression has not been without cost. As models became more powerful, they also became </w:t>
      </w:r>
      <w:proofErr w:type="gramStart"/>
      <w:r w:rsidRPr="00B944FA">
        <w:rPr>
          <w:color w:val="000000" w:themeColor="text1"/>
          <w:sz w:val="22"/>
          <w:szCs w:val="22"/>
        </w:rPr>
        <w:t>more opaque</w:t>
      </w:r>
      <w:proofErr w:type="gramEnd"/>
      <w:r w:rsidRPr="00B944FA">
        <w:rPr>
          <w:color w:val="000000" w:themeColor="text1"/>
          <w:sz w:val="22"/>
          <w:szCs w:val="22"/>
        </w:rPr>
        <w:t xml:space="preserve">. </w:t>
      </w:r>
      <w:proofErr w:type="spellStart"/>
      <w:r w:rsidRPr="00B944FA">
        <w:rPr>
          <w:color w:val="000000" w:themeColor="text1"/>
          <w:sz w:val="22"/>
          <w:szCs w:val="22"/>
        </w:rPr>
        <w:t>Nurhidayat</w:t>
      </w:r>
      <w:proofErr w:type="spellEnd"/>
      <w:r w:rsidRPr="00B944FA">
        <w:rPr>
          <w:color w:val="000000" w:themeColor="text1"/>
          <w:sz w:val="22"/>
          <w:szCs w:val="22"/>
        </w:rPr>
        <w:t xml:space="preserve"> and </w:t>
      </w:r>
      <w:proofErr w:type="spellStart"/>
      <w:r w:rsidRPr="00B944FA">
        <w:rPr>
          <w:color w:val="000000" w:themeColor="text1"/>
          <w:sz w:val="22"/>
          <w:szCs w:val="22"/>
        </w:rPr>
        <w:t>Anggraini</w:t>
      </w:r>
      <w:proofErr w:type="spellEnd"/>
      <w:r w:rsidRPr="00B944FA">
        <w:rPr>
          <w:color w:val="000000" w:themeColor="text1"/>
          <w:sz w:val="22"/>
          <w:szCs w:val="22"/>
        </w:rPr>
        <w:t xml:space="preserve"> (2025) demonstrated that while </w:t>
      </w:r>
      <w:proofErr w:type="spellStart"/>
      <w:r w:rsidRPr="00B944FA">
        <w:rPr>
          <w:color w:val="000000" w:themeColor="text1"/>
          <w:sz w:val="22"/>
          <w:szCs w:val="22"/>
        </w:rPr>
        <w:t>XGBoost</w:t>
      </w:r>
      <w:proofErr w:type="spellEnd"/>
      <w:r w:rsidRPr="00B944FA">
        <w:rPr>
          <w:color w:val="000000" w:themeColor="text1"/>
          <w:sz w:val="22"/>
          <w:szCs w:val="22"/>
        </w:rPr>
        <w:t xml:space="preserve"> achieved the highest F1-score among six classifiers tested on a major telecom dataset, the resulting model could not provide any native justification for its predictions — a limitation that directly constrains its deployment in customer-facing retention workflows. The systematic review by Pandey and Pandey (2026) confirms this broader pattern: across 85 studies published between 2015 and 2025, the overwhelming majority </w:t>
      </w:r>
      <w:proofErr w:type="spellStart"/>
      <w:r w:rsidRPr="00B944FA">
        <w:rPr>
          <w:color w:val="000000" w:themeColor="text1"/>
          <w:sz w:val="22"/>
          <w:szCs w:val="22"/>
        </w:rPr>
        <w:t>optimised</w:t>
      </w:r>
      <w:proofErr w:type="spellEnd"/>
      <w:r w:rsidRPr="00B944FA">
        <w:rPr>
          <w:color w:val="000000" w:themeColor="text1"/>
          <w:sz w:val="22"/>
          <w:szCs w:val="22"/>
        </w:rPr>
        <w:t xml:space="preserve"> for predictive accuracy alone, with fewer than 12% incorporating any form of post-hoc explanation or interpretability analysis.</w:t>
      </w:r>
    </w:p>
    <w:p w14:paraId="597E82F9" w14:textId="77777777" w:rsidR="00B944FA" w:rsidRPr="00B944FA" w:rsidRDefault="00B944FA" w:rsidP="00B944FA">
      <w:pPr>
        <w:spacing w:after="60"/>
        <w:ind w:left="360" w:firstLine="360"/>
        <w:jc w:val="both"/>
        <w:rPr>
          <w:color w:val="000000" w:themeColor="text1"/>
          <w:sz w:val="20"/>
          <w:szCs w:val="20"/>
        </w:rPr>
      </w:pPr>
      <w:r w:rsidRPr="00B944FA">
        <w:rPr>
          <w:color w:val="000000" w:themeColor="text1"/>
          <w:sz w:val="22"/>
          <w:szCs w:val="22"/>
        </w:rPr>
        <w:t xml:space="preserve">The research question has therefore shifted. The field no longer </w:t>
      </w:r>
      <w:proofErr w:type="gramStart"/>
      <w:r w:rsidRPr="00B944FA">
        <w:rPr>
          <w:color w:val="000000" w:themeColor="text1"/>
          <w:sz w:val="22"/>
          <w:szCs w:val="22"/>
        </w:rPr>
        <w:t>asks</w:t>
      </w:r>
      <w:proofErr w:type="gramEnd"/>
      <w:r w:rsidRPr="00B944FA">
        <w:rPr>
          <w:color w:val="000000" w:themeColor="text1"/>
          <w:sz w:val="22"/>
          <w:szCs w:val="22"/>
        </w:rPr>
        <w:t xml:space="preserve"> "can we predict churn</w:t>
      </w:r>
      <w:proofErr w:type="gramStart"/>
      <w:r w:rsidRPr="00B944FA">
        <w:rPr>
          <w:color w:val="000000" w:themeColor="text1"/>
          <w:sz w:val="22"/>
          <w:szCs w:val="22"/>
        </w:rPr>
        <w:t>?" —</w:t>
      </w:r>
      <w:proofErr w:type="gramEnd"/>
      <w:r w:rsidRPr="00B944FA">
        <w:rPr>
          <w:color w:val="000000" w:themeColor="text1"/>
          <w:sz w:val="22"/>
          <w:szCs w:val="22"/>
        </w:rPr>
        <w:t xml:space="preserve"> that question is effectively closed, with ensemble classifiers reliably achieving AUC scores above 0.85. The open question is whether churn can be predicted profitably and </w:t>
      </w:r>
      <w:proofErr w:type="spellStart"/>
      <w:r w:rsidRPr="00B944FA">
        <w:rPr>
          <w:color w:val="000000" w:themeColor="text1"/>
          <w:sz w:val="22"/>
          <w:szCs w:val="22"/>
        </w:rPr>
        <w:t>explainably</w:t>
      </w:r>
      <w:proofErr w:type="spellEnd"/>
      <w:r w:rsidRPr="00B944FA">
        <w:rPr>
          <w:color w:val="000000" w:themeColor="text1"/>
          <w:sz w:val="22"/>
          <w:szCs w:val="22"/>
        </w:rPr>
        <w:t xml:space="preserve">, in a manner that allows marketing teams to act on the model's </w:t>
      </w:r>
      <w:proofErr w:type="gramStart"/>
      <w:r w:rsidRPr="00B944FA">
        <w:rPr>
          <w:color w:val="000000" w:themeColor="text1"/>
          <w:sz w:val="22"/>
          <w:szCs w:val="22"/>
        </w:rPr>
        <w:t>outputs</w:t>
      </w:r>
      <w:proofErr w:type="gramEnd"/>
      <w:r w:rsidRPr="00B944FA">
        <w:rPr>
          <w:color w:val="000000" w:themeColor="text1"/>
          <w:sz w:val="22"/>
          <w:szCs w:val="22"/>
        </w:rPr>
        <w:t xml:space="preserve"> with confidence and regulatory compliance. This dissertation engages directly with that open question</w:t>
      </w:r>
      <w:r w:rsidRPr="00B944FA">
        <w:rPr>
          <w:color w:val="000000" w:themeColor="text1"/>
          <w:sz w:val="20"/>
          <w:szCs w:val="20"/>
        </w:rPr>
        <w:t>.</w:t>
      </w:r>
    </w:p>
    <w:p w14:paraId="196FE486" w14:textId="77777777" w:rsidR="00A50B08" w:rsidRDefault="0093381D">
      <w:pPr>
        <w:pStyle w:val="Heading2"/>
      </w:pPr>
      <w:bookmarkStart w:id="9" w:name="_Toc232184191"/>
      <w:r>
        <w:t>2.2 Explainable AI: Foundations and Methods</w:t>
      </w:r>
      <w:bookmarkEnd w:id="9"/>
    </w:p>
    <w:p w14:paraId="7707CE21"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Explainable AI encompasses a broad family of techniques designed to make the outputs of machine learning models understandable to human users. A foundational distinction in the literature separates intrinsic interpretability from post-hoc explanation (</w:t>
      </w:r>
      <w:proofErr w:type="spellStart"/>
      <w:r w:rsidRPr="00A9157C">
        <w:rPr>
          <w:color w:val="000000" w:themeColor="text1"/>
          <w:sz w:val="22"/>
          <w:szCs w:val="22"/>
        </w:rPr>
        <w:t>Adadi</w:t>
      </w:r>
      <w:proofErr w:type="spellEnd"/>
      <w:r w:rsidRPr="00A9157C">
        <w:rPr>
          <w:color w:val="000000" w:themeColor="text1"/>
          <w:sz w:val="22"/>
          <w:szCs w:val="22"/>
        </w:rPr>
        <w:t xml:space="preserve"> and Berrada, 2018). Intrinsically interpretable models — such as logistic regression, shallow decision trees, and rule lists — are transparent by design; their internal logic can be directly inspected. Post-hoc methods, by contrast, are applied after training to explain the </w:t>
      </w:r>
      <w:proofErr w:type="spellStart"/>
      <w:r w:rsidRPr="00A9157C">
        <w:rPr>
          <w:color w:val="000000" w:themeColor="text1"/>
          <w:sz w:val="22"/>
          <w:szCs w:val="22"/>
        </w:rPr>
        <w:t>behaviour</w:t>
      </w:r>
      <w:proofErr w:type="spellEnd"/>
      <w:r w:rsidRPr="00A9157C">
        <w:rPr>
          <w:color w:val="000000" w:themeColor="text1"/>
          <w:sz w:val="22"/>
          <w:szCs w:val="22"/>
        </w:rPr>
        <w:t xml:space="preserve"> of an already-fitted model, making them compatible with high-performing but opaque classifiers like </w:t>
      </w:r>
      <w:proofErr w:type="spellStart"/>
      <w:r w:rsidRPr="00A9157C">
        <w:rPr>
          <w:color w:val="000000" w:themeColor="text1"/>
          <w:sz w:val="22"/>
          <w:szCs w:val="22"/>
        </w:rPr>
        <w:t>XGBoost</w:t>
      </w:r>
      <w:proofErr w:type="spellEnd"/>
      <w:r w:rsidRPr="00A9157C">
        <w:rPr>
          <w:color w:val="000000" w:themeColor="text1"/>
          <w:sz w:val="22"/>
          <w:szCs w:val="22"/>
        </w:rPr>
        <w:t xml:space="preserve"> and neural networks. Molnar (2025) provides a comprehensive taxonomy of both approaches and argues that post-hoc methods are increasingly dominant in applied settings where predictive performance cannot be sacrificed for transparency.</w:t>
      </w:r>
    </w:p>
    <w:p w14:paraId="017BB251"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Within the post-hoc category, two methods have achieved </w:t>
      </w:r>
      <w:proofErr w:type="gramStart"/>
      <w:r w:rsidRPr="00A9157C">
        <w:rPr>
          <w:color w:val="000000" w:themeColor="text1"/>
          <w:sz w:val="22"/>
          <w:szCs w:val="22"/>
        </w:rPr>
        <w:t>particular prominence</w:t>
      </w:r>
      <w:proofErr w:type="gramEnd"/>
      <w:r w:rsidRPr="00A9157C">
        <w:rPr>
          <w:color w:val="000000" w:themeColor="text1"/>
          <w:sz w:val="22"/>
          <w:szCs w:val="22"/>
        </w:rPr>
        <w:t xml:space="preserve">. SHAP, introduced by Lundberg and Lee (2017), draws on Shapley values from cooperative game theory to assign each feature a contribution score that is locally accurate, consistent, and additive across the full prediction. LIME, proposed by Ribeiro, Singh and </w:t>
      </w:r>
      <w:proofErr w:type="spellStart"/>
      <w:r w:rsidRPr="00A9157C">
        <w:rPr>
          <w:color w:val="000000" w:themeColor="text1"/>
          <w:sz w:val="22"/>
          <w:szCs w:val="22"/>
        </w:rPr>
        <w:t>Guestrin</w:t>
      </w:r>
      <w:proofErr w:type="spellEnd"/>
      <w:r w:rsidRPr="00A9157C">
        <w:rPr>
          <w:color w:val="000000" w:themeColor="text1"/>
          <w:sz w:val="22"/>
          <w:szCs w:val="22"/>
        </w:rPr>
        <w:t xml:space="preserve"> (2016), takes a fundamentally different approach: it perturbs the input around a single instance and fits a locally weighted linear model to approximate the classifier's decision boundary in that </w:t>
      </w:r>
      <w:proofErr w:type="spellStart"/>
      <w:r w:rsidRPr="00A9157C">
        <w:rPr>
          <w:color w:val="000000" w:themeColor="text1"/>
          <w:sz w:val="22"/>
          <w:szCs w:val="22"/>
        </w:rPr>
        <w:t>neighbourhood</w:t>
      </w:r>
      <w:proofErr w:type="spellEnd"/>
      <w:r w:rsidRPr="00A9157C">
        <w:rPr>
          <w:color w:val="000000" w:themeColor="text1"/>
          <w:sz w:val="22"/>
          <w:szCs w:val="22"/>
        </w:rPr>
        <w:t>. Both methods are model-agnostic and produce feature-level explanations, but their theoretical foundations diverge sharply. SHAP guarantees mathematical properties that LIME does not, while LIME offers computational simplicity and flexibility that SHAP's exact kernel variant cannot match. Wachter, Mittelstadt and Russell (2018) further expanded the landscape by proposing counterfactual explanations, which describe the smallest change to an input that would alter the prediction — though this method remains less widely adopted in churn prediction specifically.</w:t>
      </w:r>
    </w:p>
    <w:p w14:paraId="13F783D7" w14:textId="77777777" w:rsidR="00A50B08" w:rsidRDefault="0093381D">
      <w:pPr>
        <w:pStyle w:val="Heading2"/>
      </w:pPr>
      <w:bookmarkStart w:id="10" w:name="_Toc232184192"/>
      <w:r>
        <w:lastRenderedPageBreak/>
        <w:t>2.3 The Disagreement Problem in Explainable Machine Learning</w:t>
      </w:r>
      <w:bookmarkEnd w:id="10"/>
    </w:p>
    <w:p w14:paraId="2847916E"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If SHAP and LIME both claim to explain the same model, a reasonable expectation is that they should broadly agree on which features matter most for a given prediction. In practice, they frequently do not. Krishna et al. (2022) conducted one of the most thorough investigations of this problem, applying seven popular explanation methods — including SHAP and LIME — to identical models and datasets. Their findings were </w:t>
      </w:r>
      <w:proofErr w:type="gramStart"/>
      <w:r w:rsidRPr="00A9157C">
        <w:rPr>
          <w:color w:val="000000" w:themeColor="text1"/>
          <w:sz w:val="22"/>
          <w:szCs w:val="22"/>
        </w:rPr>
        <w:t>striking:</w:t>
      </w:r>
      <w:proofErr w:type="gramEnd"/>
      <w:r w:rsidRPr="00A9157C">
        <w:rPr>
          <w:color w:val="000000" w:themeColor="text1"/>
          <w:sz w:val="22"/>
          <w:szCs w:val="22"/>
        </w:rPr>
        <w:t xml:space="preserve"> pairwise agreement between methods on the top-ranked features was often below 50%, and the level of disagreement varied unpredictably across datasets, model types, and individual instances. The authors concluded that practitioners who rely on a single explanation method are exposed to a form of "explanation risk" that is rarely acknowledged or measured.</w:t>
      </w:r>
    </w:p>
    <w:p w14:paraId="5CA2F383"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The problem is not evenly distributed across methods. Slack et al. (2020) demonstrated that LIME is particularly vulnerable to instability: repeated runs on the same instance with different random seeds can produce different feature rankings, because LIME's perturbation-based sampling introduces stochastic variation into the explanation. Zhang et al. (2019) reinforced this finding, showing that local surrogate methods are sensitive to </w:t>
      </w:r>
      <w:proofErr w:type="spellStart"/>
      <w:r w:rsidRPr="00A9157C">
        <w:rPr>
          <w:color w:val="000000" w:themeColor="text1"/>
          <w:sz w:val="22"/>
          <w:szCs w:val="22"/>
        </w:rPr>
        <w:t>neighbourhood</w:t>
      </w:r>
      <w:proofErr w:type="spellEnd"/>
      <w:r w:rsidRPr="00A9157C">
        <w:rPr>
          <w:color w:val="000000" w:themeColor="text1"/>
          <w:sz w:val="22"/>
          <w:szCs w:val="22"/>
        </w:rPr>
        <w:t xml:space="preserve"> definition and sample size, making their outputs less reproducible than Shapley-value-based approaches. SHAP, by contrast, benefits from its axiomatic guarantees — symmetry, efficiency, and additivity — which constrain the space of possible explanations and reduce variance across runs.</w:t>
      </w:r>
    </w:p>
    <w:p w14:paraId="7264DE86"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Despite this growing body of evidence, Doshi-Velez and Kim (2017) noted that the field still lacks a </w:t>
      </w:r>
      <w:proofErr w:type="spellStart"/>
      <w:r w:rsidRPr="00A9157C">
        <w:rPr>
          <w:color w:val="000000" w:themeColor="text1"/>
          <w:sz w:val="22"/>
          <w:szCs w:val="22"/>
        </w:rPr>
        <w:t>standardised</w:t>
      </w:r>
      <w:proofErr w:type="spellEnd"/>
      <w:r w:rsidRPr="00A9157C">
        <w:rPr>
          <w:color w:val="000000" w:themeColor="text1"/>
          <w:sz w:val="22"/>
          <w:szCs w:val="22"/>
        </w:rPr>
        <w:t xml:space="preserve"> quantitative framework for evaluating and comparing explanation quality. Most published comparisons rely on visual inspection of feature importance plots rather than structured metrics. This gap — the absence of a rigorous, metric-driven comparison — is precisely what this dissertation seeks to fill.</w:t>
      </w:r>
    </w:p>
    <w:p w14:paraId="5EE34FDF" w14:textId="77777777" w:rsidR="00A50B08" w:rsidRDefault="0093381D">
      <w:pPr>
        <w:pStyle w:val="Heading2"/>
      </w:pPr>
      <w:bookmarkStart w:id="11" w:name="_Toc232184193"/>
      <w:r>
        <w:t>2.4 Explainability Applied to Telecom Churn</w:t>
      </w:r>
      <w:bookmarkEnd w:id="11"/>
    </w:p>
    <w:p w14:paraId="066A9F61"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A growing number of studies have applied XAI methods to telecom churn prediction, but the depth and </w:t>
      </w:r>
      <w:proofErr w:type="spellStart"/>
      <w:r w:rsidRPr="00A9157C">
        <w:rPr>
          <w:color w:val="000000" w:themeColor="text1"/>
          <w:sz w:val="22"/>
          <w:szCs w:val="22"/>
        </w:rPr>
        <w:t>rigour</w:t>
      </w:r>
      <w:proofErr w:type="spellEnd"/>
      <w:r w:rsidRPr="00A9157C">
        <w:rPr>
          <w:color w:val="000000" w:themeColor="text1"/>
          <w:sz w:val="22"/>
          <w:szCs w:val="22"/>
        </w:rPr>
        <w:t xml:space="preserve"> of these applications </w:t>
      </w:r>
      <w:proofErr w:type="gramStart"/>
      <w:r w:rsidRPr="00A9157C">
        <w:rPr>
          <w:color w:val="000000" w:themeColor="text1"/>
          <w:sz w:val="22"/>
          <w:szCs w:val="22"/>
        </w:rPr>
        <w:t>varies</w:t>
      </w:r>
      <w:proofErr w:type="gramEnd"/>
      <w:r w:rsidRPr="00A9157C">
        <w:rPr>
          <w:color w:val="000000" w:themeColor="text1"/>
          <w:sz w:val="22"/>
          <w:szCs w:val="22"/>
        </w:rPr>
        <w:t xml:space="preserve"> considerably. El Attar and El-Hajj (2026) applied SHAP to an </w:t>
      </w:r>
      <w:proofErr w:type="spellStart"/>
      <w:r w:rsidRPr="00A9157C">
        <w:rPr>
          <w:color w:val="000000" w:themeColor="text1"/>
          <w:sz w:val="22"/>
          <w:szCs w:val="22"/>
        </w:rPr>
        <w:t>XGBoost</w:t>
      </w:r>
      <w:proofErr w:type="spellEnd"/>
      <w:r w:rsidRPr="00A9157C">
        <w:rPr>
          <w:color w:val="000000" w:themeColor="text1"/>
          <w:sz w:val="22"/>
          <w:szCs w:val="22"/>
        </w:rPr>
        <w:t xml:space="preserve"> model trained on the IBM Telco dataset, producing global and local feature importance plots that identified contract type, tenure, and monthly charges as the primary churn drivers. Their study is among the most cited recent contributions in this niche, yet it did not compare SHAP against any alternative explanation method, leaving the robustness of its rankings untested. Al Mamun et al. (2026) took a similar single-method approach, applying SHAP to a gradient-boosted model and </w:t>
      </w:r>
      <w:proofErr w:type="spellStart"/>
      <w:r w:rsidRPr="00A9157C">
        <w:rPr>
          <w:color w:val="000000" w:themeColor="text1"/>
          <w:sz w:val="22"/>
          <w:szCs w:val="22"/>
        </w:rPr>
        <w:t>visualising</w:t>
      </w:r>
      <w:proofErr w:type="spellEnd"/>
      <w:r w:rsidRPr="00A9157C">
        <w:rPr>
          <w:color w:val="000000" w:themeColor="text1"/>
          <w:sz w:val="22"/>
          <w:szCs w:val="22"/>
        </w:rPr>
        <w:t xml:space="preserve"> feature contributions without evaluating explanation quality quantitatively.</w:t>
      </w:r>
    </w:p>
    <w:p w14:paraId="437102F0"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Other recent work has begun to explore broader XAI toolkits. The XAI-Churn </w:t>
      </w:r>
      <w:proofErr w:type="spellStart"/>
      <w:r w:rsidRPr="00A9157C">
        <w:rPr>
          <w:color w:val="000000" w:themeColor="text1"/>
          <w:sz w:val="22"/>
          <w:szCs w:val="22"/>
        </w:rPr>
        <w:t>TriBoost</w:t>
      </w:r>
      <w:proofErr w:type="spellEnd"/>
      <w:r w:rsidRPr="00A9157C">
        <w:rPr>
          <w:color w:val="000000" w:themeColor="text1"/>
          <w:sz w:val="22"/>
          <w:szCs w:val="22"/>
        </w:rPr>
        <w:t xml:space="preserve"> framework (2025) combined three boosting algorithms with SHAP-based feature </w:t>
      </w:r>
      <w:proofErr w:type="gramStart"/>
      <w:r w:rsidRPr="00A9157C">
        <w:rPr>
          <w:color w:val="000000" w:themeColor="text1"/>
          <w:sz w:val="22"/>
          <w:szCs w:val="22"/>
        </w:rPr>
        <w:t>analysis, but</w:t>
      </w:r>
      <w:proofErr w:type="gramEnd"/>
      <w:r w:rsidRPr="00A9157C">
        <w:rPr>
          <w:color w:val="000000" w:themeColor="text1"/>
          <w:sz w:val="22"/>
          <w:szCs w:val="22"/>
        </w:rPr>
        <w:t xml:space="preserve"> treated explainability as a supplementary </w:t>
      </w:r>
      <w:proofErr w:type="spellStart"/>
      <w:r w:rsidRPr="00A9157C">
        <w:rPr>
          <w:color w:val="000000" w:themeColor="text1"/>
          <w:sz w:val="22"/>
          <w:szCs w:val="22"/>
        </w:rPr>
        <w:t>visualisation</w:t>
      </w:r>
      <w:proofErr w:type="spellEnd"/>
      <w:r w:rsidRPr="00A9157C">
        <w:rPr>
          <w:color w:val="000000" w:themeColor="text1"/>
          <w:sz w:val="22"/>
          <w:szCs w:val="22"/>
        </w:rPr>
        <w:t xml:space="preserve"> step rather than a core evaluation objective. XCL-Churn (2026) introduced LIME alongside SHAP in a telecom context but presented both methods as parallel visual outputs without any head-to-head metric comparison. Churn-Explainer (2026) similarly applied multiple post-hoc methods to a telecom ensemble but relied on qualitative assessment of explanation plots. Bolla and </w:t>
      </w:r>
      <w:proofErr w:type="spellStart"/>
      <w:r w:rsidRPr="00A9157C">
        <w:rPr>
          <w:color w:val="000000" w:themeColor="text1"/>
          <w:sz w:val="22"/>
          <w:szCs w:val="22"/>
        </w:rPr>
        <w:t>Narsepalle</w:t>
      </w:r>
      <w:proofErr w:type="spellEnd"/>
      <w:r w:rsidRPr="00A9157C">
        <w:rPr>
          <w:color w:val="000000" w:themeColor="text1"/>
          <w:sz w:val="22"/>
          <w:szCs w:val="22"/>
        </w:rPr>
        <w:t xml:space="preserve"> (2026) and the IIETA study (2024) both applied SHAP to ensemble classifiers in telecom settings, contributing useful domain findings but again without comparative evaluation. Pandey and Pandey (2026) confirm this pattern in their systematic review: the dominant approach in the literature is to apply a single XAI method as a post-hoc add-on, not to evaluate or compare explanation methods as research </w:t>
      </w:r>
      <w:proofErr w:type="gramStart"/>
      <w:r w:rsidRPr="00A9157C">
        <w:rPr>
          <w:color w:val="000000" w:themeColor="text1"/>
          <w:sz w:val="22"/>
          <w:szCs w:val="22"/>
        </w:rPr>
        <w:t>objects in their own right</w:t>
      </w:r>
      <w:proofErr w:type="gramEnd"/>
      <w:r w:rsidRPr="00A9157C">
        <w:rPr>
          <w:color w:val="000000" w:themeColor="text1"/>
          <w:sz w:val="22"/>
          <w:szCs w:val="22"/>
        </w:rPr>
        <w:t>.</w:t>
      </w:r>
    </w:p>
    <w:p w14:paraId="618A7B97"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Three clear gaps emerge from this body of work. First, almost no telecom churn study compares SHAP and LIME on the same model using the same dataset. Second, quantitative evaluation of explanation quality — using defined metrics such as fidelity, stability, sparsity, and agreement — is virtually absent. Third, no published study uses SHAP feature-value vectors as inputs to a customer segmentation process, meaning the link between individual explanation and marketer-actionable segment remains unexplored.</w:t>
      </w:r>
    </w:p>
    <w:p w14:paraId="2E7652A8" w14:textId="77777777" w:rsidR="00A50B08" w:rsidRDefault="0093381D">
      <w:pPr>
        <w:pStyle w:val="Heading2"/>
      </w:pPr>
      <w:bookmarkStart w:id="12" w:name="_Toc232184194"/>
      <w:r>
        <w:lastRenderedPageBreak/>
        <w:t>2.5 Ethics, Fairness, and Deployment of Explainable Churn Models</w:t>
      </w:r>
      <w:bookmarkEnd w:id="12"/>
    </w:p>
    <w:p w14:paraId="1D43D25F"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Deploying an explainable churn model in a live business environment introduces ethical considerations that extend beyond technical performance. Three concerns are particularly relevant to this project. The first is discriminatory impact. Churn models trained on historical data may encode biases related to geography, income level, or demographic proxies embedded in usage patterns. If SHAP or LIME explanations surface these features as churn drivers, retention strategies built on those explanations risk reinforcing existing inequalities — for instance, by systematically </w:t>
      </w:r>
      <w:proofErr w:type="spellStart"/>
      <w:r w:rsidRPr="00A9157C">
        <w:rPr>
          <w:color w:val="000000" w:themeColor="text1"/>
          <w:sz w:val="22"/>
          <w:szCs w:val="22"/>
        </w:rPr>
        <w:t>deprioritising</w:t>
      </w:r>
      <w:proofErr w:type="spellEnd"/>
      <w:r w:rsidRPr="00A9157C">
        <w:rPr>
          <w:color w:val="000000" w:themeColor="text1"/>
          <w:sz w:val="22"/>
          <w:szCs w:val="22"/>
        </w:rPr>
        <w:t xml:space="preserve"> low-revenue customers who happen to belong to disadvantaged groups (Selbst and Barocas, 2018).</w:t>
      </w:r>
    </w:p>
    <w:p w14:paraId="4DEA4DB1"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The second concern is manipulability. Bhatt et al. (2020) found that explanation methods can be gamed: a model designer who is aware of which features SHAP or LIME will highlight can adjust the model to produce </w:t>
      </w:r>
      <w:proofErr w:type="spellStart"/>
      <w:r w:rsidRPr="00A9157C">
        <w:rPr>
          <w:color w:val="000000" w:themeColor="text1"/>
          <w:sz w:val="22"/>
          <w:szCs w:val="22"/>
        </w:rPr>
        <w:t>favourable</w:t>
      </w:r>
      <w:proofErr w:type="spellEnd"/>
      <w:r w:rsidRPr="00A9157C">
        <w:rPr>
          <w:color w:val="000000" w:themeColor="text1"/>
          <w:sz w:val="22"/>
          <w:szCs w:val="22"/>
        </w:rPr>
        <w:t>-looking explanations while preserving a discriminatory decision boundary underneath. This "explanation washing" undermines the trust that explanations are supposed to build.</w:t>
      </w:r>
    </w:p>
    <w:p w14:paraId="30B36E92"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The third concern is the right to explanation itself. Wachter, Mittelstadt and Russell (2018) argued that GDPR Article 22 creates a qualified right for individuals to receive meaningful information about automated decisions, but the legal threshold for what constitutes a "meaningful" explanation remains unsettled. These deployment concerns do not invalidate the use of XAI in churn prediction, but they do shape the ethical boundaries within which any practical framework must operate. The ethics and future work sections of this dissertation address each of these risks directly.</w:t>
      </w:r>
    </w:p>
    <w:p w14:paraId="223D694E" w14:textId="77777777" w:rsidR="00A50B08" w:rsidRDefault="0093381D">
      <w:pPr>
        <w:pStyle w:val="Heading2"/>
      </w:pPr>
      <w:bookmarkStart w:id="13" w:name="_Toc232184195"/>
      <w:r>
        <w:t>2.6 Synthesis: Why This Project?</w:t>
      </w:r>
      <w:bookmarkEnd w:id="13"/>
    </w:p>
    <w:p w14:paraId="6C08C107" w14:textId="45680DDB" w:rsidR="00A50B08" w:rsidRPr="00A9157C" w:rsidRDefault="00A9157C" w:rsidP="00A9157C">
      <w:pPr>
        <w:spacing w:after="60"/>
        <w:ind w:left="360" w:firstLine="360"/>
        <w:jc w:val="both"/>
        <w:rPr>
          <w:color w:val="000000" w:themeColor="text1"/>
          <w:sz w:val="28"/>
          <w:szCs w:val="28"/>
        </w:rPr>
      </w:pPr>
      <w:r w:rsidRPr="00A9157C">
        <w:rPr>
          <w:color w:val="000000" w:themeColor="text1"/>
          <w:sz w:val="22"/>
          <w:szCs w:val="22"/>
        </w:rPr>
        <w:t xml:space="preserve">The literature tells a clear story. Past work has applied SHAP to telecom churn models as a </w:t>
      </w:r>
      <w:proofErr w:type="spellStart"/>
      <w:r w:rsidRPr="00A9157C">
        <w:rPr>
          <w:color w:val="000000" w:themeColor="text1"/>
          <w:sz w:val="22"/>
          <w:szCs w:val="22"/>
        </w:rPr>
        <w:t>visualisation</w:t>
      </w:r>
      <w:proofErr w:type="spellEnd"/>
      <w:r w:rsidRPr="00A9157C">
        <w:rPr>
          <w:color w:val="000000" w:themeColor="text1"/>
          <w:sz w:val="22"/>
          <w:szCs w:val="22"/>
        </w:rPr>
        <w:t xml:space="preserve"> layer, and a handful of studies have placed LIME alongside it — but none have compared the two methods quantitatively using defined evaluation metrics on a large telecom dataset, and none have extended SHAP outputs into a customer segmentation framework. This project fills that gap. It replaces visual intuition with metric-driven </w:t>
      </w:r>
      <w:proofErr w:type="spellStart"/>
      <w:r w:rsidRPr="00A9157C">
        <w:rPr>
          <w:color w:val="000000" w:themeColor="text1"/>
          <w:sz w:val="22"/>
          <w:szCs w:val="22"/>
        </w:rPr>
        <w:t>rigour</w:t>
      </w:r>
      <w:proofErr w:type="spellEnd"/>
      <w:r w:rsidRPr="00A9157C">
        <w:rPr>
          <w:color w:val="000000" w:themeColor="text1"/>
          <w:sz w:val="22"/>
          <w:szCs w:val="22"/>
        </w:rPr>
        <w:t xml:space="preserve"> across fidelity, stability, sparsity, and agreement, and it translates individual feature explanations into marketer-actionable segments through SHAP-vector clustering. Future enhancements include multi-class churn-type prediction with labelled exit data, counterfactual explanation integration, real-time deployment pipelines, and fairness auditing to address the ethical risks identified in Section 2.5.</w:t>
      </w:r>
    </w:p>
    <w:p w14:paraId="26E2240D" w14:textId="77777777" w:rsidR="00A50B08" w:rsidRDefault="0093381D">
      <w:r>
        <w:br w:type="page"/>
      </w:r>
    </w:p>
    <w:p w14:paraId="4C8DDFF6" w14:textId="77777777" w:rsidR="00A50B08" w:rsidRDefault="0093381D">
      <w:pPr>
        <w:pStyle w:val="Heading1"/>
      </w:pPr>
      <w:bookmarkStart w:id="14" w:name="_Toc232184196"/>
      <w:r>
        <w:lastRenderedPageBreak/>
        <w:t>3. Research Methodology</w:t>
      </w:r>
      <w:bookmarkEnd w:id="14"/>
    </w:p>
    <w:p w14:paraId="1940DED0" w14:textId="77777777" w:rsidR="00A50B08" w:rsidRDefault="0093381D">
      <w:pPr>
        <w:pStyle w:val="Heading2"/>
      </w:pPr>
      <w:bookmarkStart w:id="15" w:name="_Toc232184197"/>
      <w:r>
        <w:t>3.1 Research Philosophy and Approach</w:t>
      </w:r>
      <w:bookmarkEnd w:id="15"/>
    </w:p>
    <w:p w14:paraId="70037933" w14:textId="7E28D16B" w:rsidR="00A50B08" w:rsidRPr="00A9157C" w:rsidRDefault="00A9157C" w:rsidP="00A9157C">
      <w:pPr>
        <w:spacing w:after="60"/>
        <w:ind w:left="360" w:firstLine="360"/>
        <w:jc w:val="both"/>
        <w:rPr>
          <w:color w:val="000000" w:themeColor="text1"/>
          <w:sz w:val="28"/>
          <w:szCs w:val="28"/>
        </w:rPr>
      </w:pPr>
      <w:r w:rsidRPr="00A9157C">
        <w:rPr>
          <w:color w:val="000000" w:themeColor="text1"/>
          <w:sz w:val="22"/>
          <w:szCs w:val="22"/>
        </w:rPr>
        <w:t xml:space="preserve">This project is positioned within a positivist research philosophy, following the framework of Saunders, Lewis and Thornhill (2019). Positivism is appropriate because the research seeks to measure observable, quantifiable properties of explanation methods — not to interpret subjective meaning. The approach is deductive: hypotheses about the relative performance of SHAP and LIME are derived from existing literature and tested through controlled experimentation. The research strategy is computational experimental, with all variables manipulated programmatically on a fixed dataset. The time horizon is cross-sectional, as the dataset captures a single snapshot of customer </w:t>
      </w:r>
      <w:proofErr w:type="spellStart"/>
      <w:r w:rsidRPr="00A9157C">
        <w:rPr>
          <w:color w:val="000000" w:themeColor="text1"/>
          <w:sz w:val="22"/>
          <w:szCs w:val="22"/>
        </w:rPr>
        <w:t>behaviour</w:t>
      </w:r>
      <w:proofErr w:type="spellEnd"/>
      <w:r w:rsidRPr="00A9157C">
        <w:rPr>
          <w:color w:val="000000" w:themeColor="text1"/>
          <w:sz w:val="22"/>
          <w:szCs w:val="22"/>
        </w:rPr>
        <w:t xml:space="preserve"> rather than longitudinal change. The specific techniques employed span three layers: supervised classification for churn prediction, post-hoc explanation generation using SHAP and LIME, and unsupervised clustering for churn segmentation. Each layer feeds into the next in a sequential pipeline.</w:t>
      </w:r>
    </w:p>
    <w:p w14:paraId="504D9383" w14:textId="77777777" w:rsidR="00A50B08" w:rsidRDefault="0093381D">
      <w:pPr>
        <w:pStyle w:val="Heading2"/>
      </w:pPr>
      <w:bookmarkStart w:id="16" w:name="_Toc232184198"/>
      <w:r>
        <w:t>3</w:t>
      </w:r>
      <w:r>
        <w:t>.2 Dataset</w:t>
      </w:r>
      <w:bookmarkEnd w:id="16"/>
    </w:p>
    <w:p w14:paraId="483F6C24"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The project uses the Cell2Cell Telecom Churn Dataset, originally compiled by the Duke University Teradata Center and distributed publicly via Kaggle. The dataset comprises 71,047 customer records described by 58 attributes covering demographics, account tenure, usage patterns, service plans, customer service interactions, and billing history. The target variable is binary churn, with approximately 28.6% of customers labelled as churners — a moderate imbalance that requires handling but is not extreme enough to invalidate standard classification metrics.</w:t>
      </w:r>
    </w:p>
    <w:p w14:paraId="44247E5D"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Cell2Cell was selected for four reasons. First, its volume substantially exceeds the minimum threshold expected at MSc level and provides sufficient statistical power for both classification and clustering. Second, it contains real, </w:t>
      </w:r>
      <w:proofErr w:type="spellStart"/>
      <w:r w:rsidRPr="00A9157C">
        <w:rPr>
          <w:color w:val="000000" w:themeColor="text1"/>
          <w:sz w:val="22"/>
          <w:szCs w:val="22"/>
        </w:rPr>
        <w:t>anonymised</w:t>
      </w:r>
      <w:proofErr w:type="spellEnd"/>
      <w:r w:rsidRPr="00A9157C">
        <w:rPr>
          <w:color w:val="000000" w:themeColor="text1"/>
          <w:sz w:val="22"/>
          <w:szCs w:val="22"/>
        </w:rPr>
        <w:t xml:space="preserve"> telecom data rather than synthetically generated records. Third, it is an established academic benchmark used in published churn research, enabling comparison with prior results. Fourth, its 58-attribute feature space is considerably richer than the IBM Telco dataset (21 attributes, 7,043 records), allowing SHAP and LIME to operate on a meaningfully complex feature landscape.</w:t>
      </w:r>
    </w:p>
    <w:p w14:paraId="47109518" w14:textId="77777777" w:rsidR="00A9157C" w:rsidRPr="00A9157C" w:rsidRDefault="00A9157C" w:rsidP="00A9157C">
      <w:pPr>
        <w:spacing w:after="60"/>
        <w:ind w:left="360" w:firstLine="360"/>
        <w:jc w:val="both"/>
        <w:rPr>
          <w:color w:val="000000" w:themeColor="text1"/>
          <w:sz w:val="22"/>
          <w:szCs w:val="22"/>
        </w:rPr>
      </w:pPr>
      <w:r w:rsidRPr="00A9157C">
        <w:rPr>
          <w:color w:val="000000" w:themeColor="text1"/>
          <w:sz w:val="22"/>
          <w:szCs w:val="22"/>
        </w:rPr>
        <w:t xml:space="preserve">Preprocessing follows a standard pipeline. Missing values will be imputed using </w:t>
      </w:r>
      <w:proofErr w:type="gramStart"/>
      <w:r w:rsidRPr="00A9157C">
        <w:rPr>
          <w:color w:val="000000" w:themeColor="text1"/>
          <w:sz w:val="22"/>
          <w:szCs w:val="22"/>
        </w:rPr>
        <w:t>median</w:t>
      </w:r>
      <w:proofErr w:type="gramEnd"/>
      <w:r w:rsidRPr="00A9157C">
        <w:rPr>
          <w:color w:val="000000" w:themeColor="text1"/>
          <w:sz w:val="22"/>
          <w:szCs w:val="22"/>
        </w:rPr>
        <w:t xml:space="preserve"> for numerical features and mode for categorical features. Categorical variables will be one-hot encoded. All numerical features will be </w:t>
      </w:r>
      <w:proofErr w:type="spellStart"/>
      <w:r w:rsidRPr="00A9157C">
        <w:rPr>
          <w:color w:val="000000" w:themeColor="text1"/>
          <w:sz w:val="22"/>
          <w:szCs w:val="22"/>
        </w:rPr>
        <w:t>standardised</w:t>
      </w:r>
      <w:proofErr w:type="spellEnd"/>
      <w:r w:rsidRPr="00A9157C">
        <w:rPr>
          <w:color w:val="000000" w:themeColor="text1"/>
          <w:sz w:val="22"/>
          <w:szCs w:val="22"/>
        </w:rPr>
        <w:t xml:space="preserve"> using min-max scaling. The dataset will be split 70/30 into training and test partitions, with SMOTE applied exclusively to the training set to address class imbalance without leaking synthetic samples into evaluation.</w:t>
      </w:r>
    </w:p>
    <w:p w14:paraId="40E0BFF8" w14:textId="77777777" w:rsidR="00A50B08" w:rsidRDefault="0093381D">
      <w:pPr>
        <w:pStyle w:val="Heading2"/>
      </w:pPr>
      <w:bookmarkStart w:id="17" w:name="_Toc232184199"/>
      <w:r>
        <w:t>3.3 Predictive Models</w:t>
      </w:r>
      <w:bookmarkEnd w:id="17"/>
    </w:p>
    <w:p w14:paraId="45FEFF3D" w14:textId="77777777" w:rsidR="00A50B08" w:rsidRDefault="0093381D">
      <w:pPr>
        <w:pStyle w:val="Heading3"/>
      </w:pPr>
      <w:bookmarkStart w:id="18" w:name="_Toc232184200"/>
      <w:r>
        <w:t>3.3.1 Logistic Regression</w:t>
      </w:r>
      <w:bookmarkEnd w:id="18"/>
    </w:p>
    <w:p w14:paraId="0F97F8EF" w14:textId="2870C861" w:rsidR="00A50B08" w:rsidRPr="00A9157C" w:rsidRDefault="00A9157C" w:rsidP="00A9157C">
      <w:pPr>
        <w:spacing w:after="60"/>
        <w:ind w:left="360" w:firstLine="360"/>
        <w:jc w:val="both"/>
        <w:rPr>
          <w:color w:val="000000" w:themeColor="text1"/>
          <w:sz w:val="28"/>
          <w:szCs w:val="28"/>
        </w:rPr>
      </w:pPr>
      <w:r w:rsidRPr="00A9157C">
        <w:rPr>
          <w:color w:val="000000" w:themeColor="text1"/>
          <w:sz w:val="22"/>
          <w:szCs w:val="22"/>
        </w:rPr>
        <w:t>Logistic Regression models the probability of churn as a log-odds function — a weighted linear sum of input features passed through a sigmoid activation. It is inherently interpretable: each coefficient directly indicates the direction and magnitude of a feature's effect on the predicted outcome. In this project, Logistic Regression serves as the interpretability baseline at the low end of the accuracy spectrum, with an expected AUC-ROC of approximately 0.78–0.82.</w:t>
      </w:r>
    </w:p>
    <w:p w14:paraId="5435B3FA" w14:textId="77777777" w:rsidR="00A50B08" w:rsidRDefault="0093381D">
      <w:pPr>
        <w:pStyle w:val="Heading3"/>
      </w:pPr>
      <w:bookmarkStart w:id="19" w:name="_Toc232184201"/>
      <w:r>
        <w:t>3</w:t>
      </w:r>
      <w:r>
        <w:t>.3.2 Random Forest</w:t>
      </w:r>
      <w:bookmarkEnd w:id="19"/>
    </w:p>
    <w:p w14:paraId="5956CAB9" w14:textId="7FB2318A" w:rsidR="00A50B08" w:rsidRPr="00A9157C" w:rsidRDefault="00A9157C" w:rsidP="00A9157C">
      <w:pPr>
        <w:spacing w:after="60"/>
        <w:ind w:left="360" w:firstLine="360"/>
        <w:jc w:val="both"/>
        <w:rPr>
          <w:color w:val="000000" w:themeColor="text1"/>
          <w:sz w:val="28"/>
          <w:szCs w:val="28"/>
        </w:rPr>
      </w:pPr>
      <w:r w:rsidRPr="00A9157C">
        <w:rPr>
          <w:color w:val="000000" w:themeColor="text1"/>
          <w:sz w:val="22"/>
          <w:szCs w:val="22"/>
        </w:rPr>
        <w:t>Random Forest constructs an ensemble of decision trees, each trained on a bootstrapped sample with a random subset of features, and aggregates their predictions through majority voting (</w:t>
      </w:r>
      <w:proofErr w:type="spellStart"/>
      <w:r w:rsidRPr="00A9157C">
        <w:rPr>
          <w:color w:val="000000" w:themeColor="text1"/>
          <w:sz w:val="22"/>
          <w:szCs w:val="22"/>
        </w:rPr>
        <w:t>Breiman</w:t>
      </w:r>
      <w:proofErr w:type="spellEnd"/>
      <w:r w:rsidRPr="00A9157C">
        <w:rPr>
          <w:color w:val="000000" w:themeColor="text1"/>
          <w:sz w:val="22"/>
          <w:szCs w:val="22"/>
        </w:rPr>
        <w:t>, 2001). This bagging strategy makes the model robust to outliers and insensitive to feature scaling. Random Forest occupies the mid-point of the accuracy-interpretability spectrum in this project, with an expected AUC-ROC of approximately 0.85–0.88.</w:t>
      </w:r>
    </w:p>
    <w:p w14:paraId="5370C452" w14:textId="77777777" w:rsidR="00A9157C" w:rsidRDefault="00A9157C">
      <w:pPr>
        <w:pStyle w:val="Heading3"/>
      </w:pPr>
      <w:bookmarkStart w:id="20" w:name="_Toc232184202"/>
    </w:p>
    <w:p w14:paraId="71AC0C92" w14:textId="7223689A" w:rsidR="00A50B08" w:rsidRDefault="0093381D">
      <w:pPr>
        <w:pStyle w:val="Heading3"/>
      </w:pPr>
      <w:r>
        <w:lastRenderedPageBreak/>
        <w:t>3</w:t>
      </w:r>
      <w:r>
        <w:t xml:space="preserve">.3.3 </w:t>
      </w:r>
      <w:proofErr w:type="spellStart"/>
      <w:r>
        <w:t>XGBoost</w:t>
      </w:r>
      <w:bookmarkEnd w:id="20"/>
      <w:proofErr w:type="spellEnd"/>
    </w:p>
    <w:p w14:paraId="375F1BC7" w14:textId="33E03A42" w:rsidR="00A50B08" w:rsidRPr="00275A87" w:rsidRDefault="00A9157C" w:rsidP="00275A87">
      <w:pPr>
        <w:spacing w:after="60"/>
        <w:ind w:left="360" w:firstLine="360"/>
        <w:jc w:val="both"/>
        <w:rPr>
          <w:color w:val="000000" w:themeColor="text1"/>
          <w:sz w:val="28"/>
          <w:szCs w:val="28"/>
        </w:rPr>
      </w:pPr>
      <w:proofErr w:type="spellStart"/>
      <w:r w:rsidRPr="00275A87">
        <w:rPr>
          <w:color w:val="000000" w:themeColor="text1"/>
          <w:sz w:val="22"/>
          <w:szCs w:val="22"/>
        </w:rPr>
        <w:t>XGBoost</w:t>
      </w:r>
      <w:proofErr w:type="spellEnd"/>
      <w:r w:rsidRPr="00275A87">
        <w:rPr>
          <w:color w:val="000000" w:themeColor="text1"/>
          <w:sz w:val="22"/>
          <w:szCs w:val="22"/>
        </w:rPr>
        <w:t xml:space="preserve"> is a gradient-boosted tree ensemble where each successive tree is trained to correct the residual errors of its predecessors (Chen and Guestrin, 2016). This sequential error-correction mechanism produces consistently high predictive performance but renders the model opaque — no single tree or feature weight explains the overall decision. </w:t>
      </w:r>
      <w:proofErr w:type="spellStart"/>
      <w:r w:rsidRPr="00275A87">
        <w:rPr>
          <w:color w:val="000000" w:themeColor="text1"/>
          <w:sz w:val="22"/>
          <w:szCs w:val="22"/>
        </w:rPr>
        <w:t>XGBoost</w:t>
      </w:r>
      <w:proofErr w:type="spellEnd"/>
      <w:r w:rsidRPr="00275A87">
        <w:rPr>
          <w:color w:val="000000" w:themeColor="text1"/>
          <w:sz w:val="22"/>
          <w:szCs w:val="22"/>
        </w:rPr>
        <w:t xml:space="preserve"> is the primary object of explanation in this project, with an expected AUC-ROC of approximately 0.88–0.92.</w:t>
      </w:r>
    </w:p>
    <w:p w14:paraId="56B976DC" w14:textId="77777777" w:rsidR="00A50B08" w:rsidRDefault="0093381D">
      <w:pPr>
        <w:pStyle w:val="Heading3"/>
      </w:pPr>
      <w:bookmarkStart w:id="21" w:name="_Toc232184203"/>
      <w:r>
        <w:t>3</w:t>
      </w:r>
      <w:r>
        <w:t>.3.4 Hyperparameter Tuning, Validation, and Evaluation Metrics</w:t>
      </w:r>
      <w:bookmarkEnd w:id="21"/>
    </w:p>
    <w:p w14:paraId="11D705D1" w14:textId="6F243D20"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 xml:space="preserve">All three models will be tuned using grid search with 5-fold stratified cross-validation applied exclusively on the training partition. Random seeds will be fixed at 42 across all experiments to ensure full reproducibility. Model performance will be evaluated on the held-out test set using accuracy, precision, recall, F1-score, and AUC-ROC. Calibration plots will assess whether predicted probabilities align with observed churn rates, and confusion matrices will expose the trade-off between false positives and false negatives. This evaluation protocol follows the benchmark methodology established by Imani et al. (2025) for SMOTE-augmented </w:t>
      </w:r>
      <w:proofErr w:type="spellStart"/>
      <w:r w:rsidRPr="00275A87">
        <w:rPr>
          <w:color w:val="000000" w:themeColor="text1"/>
          <w:sz w:val="22"/>
          <w:szCs w:val="22"/>
        </w:rPr>
        <w:t>XGBoost</w:t>
      </w:r>
      <w:proofErr w:type="spellEnd"/>
      <w:r w:rsidRPr="00275A87">
        <w:rPr>
          <w:color w:val="000000" w:themeColor="text1"/>
          <w:sz w:val="22"/>
          <w:szCs w:val="22"/>
        </w:rPr>
        <w:t xml:space="preserve"> churn classifiers.</w:t>
      </w:r>
    </w:p>
    <w:p w14:paraId="0106E5C4" w14:textId="77777777" w:rsidR="00A50B08" w:rsidRDefault="0093381D">
      <w:pPr>
        <w:pStyle w:val="Heading2"/>
      </w:pPr>
      <w:bookmarkStart w:id="22" w:name="_Toc232184204"/>
      <w:r>
        <w:t>3</w:t>
      </w:r>
      <w:r>
        <w:t>.4 Explainability Methods</w:t>
      </w:r>
      <w:bookmarkEnd w:id="22"/>
    </w:p>
    <w:p w14:paraId="00A94495" w14:textId="77777777" w:rsidR="00A50B08" w:rsidRDefault="0093381D">
      <w:pPr>
        <w:pStyle w:val="Heading3"/>
      </w:pPr>
      <w:bookmarkStart w:id="23" w:name="_Toc232184205"/>
      <w:r>
        <w:t>3.4.1 SHAP (</w:t>
      </w:r>
      <w:proofErr w:type="spellStart"/>
      <w:r>
        <w:t>SHapley</w:t>
      </w:r>
      <w:proofErr w:type="spellEnd"/>
      <w:r>
        <w:t xml:space="preserve"> Additive </w:t>
      </w:r>
      <w:proofErr w:type="spellStart"/>
      <w:proofErr w:type="gramStart"/>
      <w:r>
        <w:t>exPlanations</w:t>
      </w:r>
      <w:proofErr w:type="spellEnd"/>
      <w:proofErr w:type="gramEnd"/>
      <w:r>
        <w:t>)</w:t>
      </w:r>
      <w:bookmarkEnd w:id="23"/>
    </w:p>
    <w:p w14:paraId="0DC6D79C" w14:textId="3A622F3A"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 xml:space="preserve">SHAP assigns each feature a contribution score derived from Shapley values in cooperative game theory (Lundberg and Lee, 2017). The method satisfies three axiomatic properties — local accuracy, missingness, and consistency — which guarantee that feature attributions are mathematically well-founded. A key property is additivity: for any individual customer, the sum of all SHAP values equals the difference between the model's prediction and the baseline expected value. In practice, </w:t>
      </w:r>
      <w:proofErr w:type="spellStart"/>
      <w:r w:rsidRPr="00275A87">
        <w:rPr>
          <w:color w:val="000000" w:themeColor="text1"/>
          <w:sz w:val="22"/>
          <w:szCs w:val="22"/>
        </w:rPr>
        <w:t>TreeSHAP</w:t>
      </w:r>
      <w:proofErr w:type="spellEnd"/>
      <w:r w:rsidRPr="00275A87">
        <w:rPr>
          <w:color w:val="000000" w:themeColor="text1"/>
          <w:sz w:val="22"/>
          <w:szCs w:val="22"/>
        </w:rPr>
        <w:t xml:space="preserve"> (Lundberg, Erion and Lee, 2018) will be used for Random Forest and </w:t>
      </w:r>
      <w:proofErr w:type="spellStart"/>
      <w:r w:rsidRPr="00275A87">
        <w:rPr>
          <w:color w:val="000000" w:themeColor="text1"/>
          <w:sz w:val="22"/>
          <w:szCs w:val="22"/>
        </w:rPr>
        <w:t>XGBoost</w:t>
      </w:r>
      <w:proofErr w:type="spellEnd"/>
      <w:r w:rsidRPr="00275A87">
        <w:rPr>
          <w:color w:val="000000" w:themeColor="text1"/>
          <w:sz w:val="22"/>
          <w:szCs w:val="22"/>
        </w:rPr>
        <w:t xml:space="preserve">, exploiting tree structure for exact polynomial-time computation. </w:t>
      </w:r>
      <w:proofErr w:type="spellStart"/>
      <w:r w:rsidRPr="00275A87">
        <w:rPr>
          <w:color w:val="000000" w:themeColor="text1"/>
          <w:sz w:val="22"/>
          <w:szCs w:val="22"/>
        </w:rPr>
        <w:t>KernelSHAP</w:t>
      </w:r>
      <w:proofErr w:type="spellEnd"/>
      <w:r w:rsidRPr="00275A87">
        <w:rPr>
          <w:color w:val="000000" w:themeColor="text1"/>
          <w:sz w:val="22"/>
          <w:szCs w:val="22"/>
        </w:rPr>
        <w:t>, a model-agnostic approximation, will be used for Logistic Regression to maintain methodological consistency across all three classifiers.</w:t>
      </w:r>
    </w:p>
    <w:p w14:paraId="204A2316" w14:textId="77777777" w:rsidR="00A50B08" w:rsidRDefault="0093381D">
      <w:pPr>
        <w:pStyle w:val="Heading3"/>
      </w:pPr>
      <w:bookmarkStart w:id="24" w:name="_Toc232184206"/>
      <w:r>
        <w:t>3</w:t>
      </w:r>
      <w:r>
        <w:t>.4.2 LIME (Local Interpretable Model-agnostic Explanations)</w:t>
      </w:r>
      <w:bookmarkEnd w:id="24"/>
    </w:p>
    <w:p w14:paraId="662D6F65" w14:textId="0FAEE23A"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 xml:space="preserve">LIME explains individual predictions by constructing a local surrogate model around a single instance (Ribeiro, Singh and Guestrin, 2016). The method works by generating perturbed copies of the input, </w:t>
      </w:r>
      <w:proofErr w:type="gramStart"/>
      <w:r w:rsidRPr="00275A87">
        <w:rPr>
          <w:color w:val="000000" w:themeColor="text1"/>
          <w:sz w:val="22"/>
          <w:szCs w:val="22"/>
        </w:rPr>
        <w:t>weighting</w:t>
      </w:r>
      <w:proofErr w:type="gramEnd"/>
      <w:r w:rsidRPr="00275A87">
        <w:rPr>
          <w:color w:val="000000" w:themeColor="text1"/>
          <w:sz w:val="22"/>
          <w:szCs w:val="22"/>
        </w:rPr>
        <w:t xml:space="preserve"> them by proximity to the original instance, observing the black-box model's predictions on these perturbations, and fitting a sparse linear model to approximate the local decision boundary. The resulting coefficients indicate which features most influenced the prediction in that </w:t>
      </w:r>
      <w:proofErr w:type="spellStart"/>
      <w:r w:rsidRPr="00275A87">
        <w:rPr>
          <w:color w:val="000000" w:themeColor="text1"/>
          <w:sz w:val="22"/>
          <w:szCs w:val="22"/>
        </w:rPr>
        <w:t>neighbourhood</w:t>
      </w:r>
      <w:proofErr w:type="spellEnd"/>
      <w:r w:rsidRPr="00275A87">
        <w:rPr>
          <w:color w:val="000000" w:themeColor="text1"/>
          <w:sz w:val="22"/>
          <w:szCs w:val="22"/>
        </w:rPr>
        <w:t xml:space="preserve">. LIME will be implemented using the standard Python lime package. Because LIME's outputs are known to be sensitive to hyperparameter choices — particularly the number of perturbation samples and kernel width — all settings will be held constant across every experiment to ensure that observed differences reflect method </w:t>
      </w:r>
      <w:proofErr w:type="spellStart"/>
      <w:r w:rsidRPr="00275A87">
        <w:rPr>
          <w:color w:val="000000" w:themeColor="text1"/>
          <w:sz w:val="22"/>
          <w:szCs w:val="22"/>
        </w:rPr>
        <w:t>behaviour</w:t>
      </w:r>
      <w:proofErr w:type="spellEnd"/>
      <w:r w:rsidRPr="00275A87">
        <w:rPr>
          <w:color w:val="000000" w:themeColor="text1"/>
          <w:sz w:val="22"/>
          <w:szCs w:val="22"/>
        </w:rPr>
        <w:t>, not configuration variation.</w:t>
      </w:r>
    </w:p>
    <w:p w14:paraId="781769D4" w14:textId="77777777" w:rsidR="00A50B08" w:rsidRDefault="0093381D">
      <w:pPr>
        <w:pStyle w:val="Heading2"/>
      </w:pPr>
      <w:bookmarkStart w:id="25" w:name="_Toc232184207"/>
      <w:r>
        <w:t>3</w:t>
      </w:r>
      <w:r>
        <w:t>.5 Quantitative Evaluation of Explanations</w:t>
      </w:r>
      <w:bookmarkEnd w:id="25"/>
    </w:p>
    <w:p w14:paraId="06DC965B" w14:textId="77777777" w:rsidR="00A50B08" w:rsidRDefault="0093381D">
      <w:pPr>
        <w:pStyle w:val="Heading3"/>
      </w:pPr>
      <w:bookmarkStart w:id="26" w:name="_Toc232184208"/>
      <w:r>
        <w:t>3.5.1 Fidelity</w:t>
      </w:r>
      <w:bookmarkEnd w:id="26"/>
    </w:p>
    <w:p w14:paraId="074A8247" w14:textId="0E3BC74E" w:rsidR="00A50B08" w:rsidRPr="00275A87" w:rsidRDefault="00275A87" w:rsidP="00275A87">
      <w:pPr>
        <w:spacing w:after="60"/>
        <w:ind w:left="360"/>
        <w:jc w:val="both"/>
        <w:rPr>
          <w:color w:val="000000" w:themeColor="text1"/>
          <w:sz w:val="28"/>
          <w:szCs w:val="28"/>
        </w:rPr>
      </w:pPr>
      <w:r w:rsidRPr="00275A87">
        <w:rPr>
          <w:color w:val="000000" w:themeColor="text1"/>
          <w:sz w:val="22"/>
          <w:szCs w:val="22"/>
        </w:rPr>
        <w:t xml:space="preserve">Fidelity measures how accurately an explanation reflects the true </w:t>
      </w:r>
      <w:proofErr w:type="spellStart"/>
      <w:r w:rsidRPr="00275A87">
        <w:rPr>
          <w:color w:val="000000" w:themeColor="text1"/>
          <w:sz w:val="22"/>
          <w:szCs w:val="22"/>
        </w:rPr>
        <w:t>behaviour</w:t>
      </w:r>
      <w:proofErr w:type="spellEnd"/>
      <w:r w:rsidRPr="00275A87">
        <w:rPr>
          <w:color w:val="000000" w:themeColor="text1"/>
          <w:sz w:val="22"/>
          <w:szCs w:val="22"/>
        </w:rPr>
        <w:t xml:space="preserve"> of the underlying model. It will be </w:t>
      </w:r>
      <w:proofErr w:type="spellStart"/>
      <w:r w:rsidRPr="00275A87">
        <w:rPr>
          <w:color w:val="000000" w:themeColor="text1"/>
          <w:sz w:val="22"/>
          <w:szCs w:val="22"/>
        </w:rPr>
        <w:t>operationalised</w:t>
      </w:r>
      <w:proofErr w:type="spellEnd"/>
      <w:r w:rsidRPr="00275A87">
        <w:rPr>
          <w:color w:val="000000" w:themeColor="text1"/>
          <w:sz w:val="22"/>
          <w:szCs w:val="22"/>
        </w:rPr>
        <w:t xml:space="preserve"> using a remove-and-retrain protocol: the top-k features identified by each method are sequentially removed, and the resulting drop in model performance is measured. Greater performance degradation indicates higher explanation fidelity (Hooker et al., 2019).</w:t>
      </w:r>
    </w:p>
    <w:p w14:paraId="50749A1C" w14:textId="329B124D" w:rsidR="00A50B08" w:rsidRDefault="0093381D">
      <w:pPr>
        <w:pStyle w:val="Heading3"/>
      </w:pPr>
      <w:bookmarkStart w:id="27" w:name="_Toc232184209"/>
      <w:r>
        <w:t>3</w:t>
      </w:r>
      <w:r>
        <w:t>.5.2 Stability</w:t>
      </w:r>
      <w:bookmarkEnd w:id="27"/>
    </w:p>
    <w:p w14:paraId="76FDF1DF" w14:textId="0E6606E2"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 xml:space="preserve">Stability measures whether an explanation method produces consistent outputs for similar inputs. For each test customer, ten small perturbations will be generated by adding minor noise to </w:t>
      </w:r>
      <w:r w:rsidRPr="00275A87">
        <w:rPr>
          <w:color w:val="000000" w:themeColor="text1"/>
          <w:sz w:val="22"/>
          <w:szCs w:val="22"/>
        </w:rPr>
        <w:lastRenderedPageBreak/>
        <w:t>continuous features. Explanations will be computed for all perturbations and their variance measured. Based on existing evidence, SHAP is expected to demonstrate higher stability than LIME (Krishna et al., 2022; Zhang et al., 2019).</w:t>
      </w:r>
    </w:p>
    <w:p w14:paraId="0734F093" w14:textId="77777777" w:rsidR="00A50B08" w:rsidRDefault="0093381D">
      <w:pPr>
        <w:pStyle w:val="Heading3"/>
      </w:pPr>
      <w:bookmarkStart w:id="28" w:name="_Toc232184210"/>
      <w:r>
        <w:t>3</w:t>
      </w:r>
      <w:r>
        <w:t>.5.3 Sparsity</w:t>
      </w:r>
      <w:bookmarkEnd w:id="28"/>
    </w:p>
    <w:p w14:paraId="235481E3" w14:textId="166FC841"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Sparsity captures how concisely an explanation communicates the key drivers of a prediction. It will be measured by counting the number of features whose absolute attribution exceeds 5% of the maximum attribution for that instance. Marketer-actionable explanations should ideally highlight approximately five to seven features — enough to inform a retention decision without overwhelming a non-technical user.</w:t>
      </w:r>
    </w:p>
    <w:p w14:paraId="7C07953D" w14:textId="77777777" w:rsidR="00A50B08" w:rsidRDefault="0093381D">
      <w:pPr>
        <w:pStyle w:val="Heading3"/>
      </w:pPr>
      <w:bookmarkStart w:id="29" w:name="_Toc232184211"/>
      <w:r>
        <w:t>3</w:t>
      </w:r>
      <w:r>
        <w:t>.5.4 Inter-method Agreement</w:t>
      </w:r>
      <w:bookmarkEnd w:id="29"/>
    </w:p>
    <w:p w14:paraId="4A896CDC" w14:textId="1E7D32B0"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 xml:space="preserve">Inter-method agreement quantifies the extent to which SHAP and LIME identify the same features as important for the same prediction. Following the protocol established by Krishna et al. (2022), three agreement measures will be computed across the test set: feature agreement (overlap in </w:t>
      </w:r>
      <w:proofErr w:type="gramStart"/>
      <w:r w:rsidRPr="00275A87">
        <w:rPr>
          <w:color w:val="000000" w:themeColor="text1"/>
          <w:sz w:val="22"/>
          <w:szCs w:val="22"/>
        </w:rPr>
        <w:t>top-5</w:t>
      </w:r>
      <w:proofErr w:type="gramEnd"/>
      <w:r w:rsidRPr="00275A87">
        <w:rPr>
          <w:color w:val="000000" w:themeColor="text1"/>
          <w:sz w:val="22"/>
          <w:szCs w:val="22"/>
        </w:rPr>
        <w:t xml:space="preserve"> feature sets), rank agreement (correlation of feature rankings), and sign agreement (whether both methods assign the same directional effect).</w:t>
      </w:r>
    </w:p>
    <w:p w14:paraId="15220FB6" w14:textId="77777777" w:rsidR="00A50B08" w:rsidRDefault="0093381D">
      <w:pPr>
        <w:pStyle w:val="Heading2"/>
      </w:pPr>
      <w:bookmarkStart w:id="30" w:name="_Toc232184212"/>
      <w:r>
        <w:t>3</w:t>
      </w:r>
      <w:r>
        <w:t>.6 SHAP-Based Churn Segmentation</w:t>
      </w:r>
      <w:bookmarkEnd w:id="30"/>
    </w:p>
    <w:p w14:paraId="57414D1A" w14:textId="77777777" w:rsidR="00275A87" w:rsidRPr="00275A87" w:rsidRDefault="00275A87" w:rsidP="00275A87">
      <w:pPr>
        <w:spacing w:after="60"/>
        <w:ind w:left="360" w:firstLine="360"/>
        <w:jc w:val="both"/>
        <w:rPr>
          <w:color w:val="000000" w:themeColor="text1"/>
          <w:sz w:val="22"/>
          <w:szCs w:val="22"/>
        </w:rPr>
      </w:pPr>
      <w:r w:rsidRPr="00275A87">
        <w:rPr>
          <w:color w:val="000000" w:themeColor="text1"/>
          <w:sz w:val="22"/>
          <w:szCs w:val="22"/>
        </w:rPr>
        <w:t xml:space="preserve">The segmentation component represents the novel practical contribution of this project. The process follows five sequential steps. First, all customers predicted as churners by the best-performing model are isolated. Second, the SHAP feature-value vector for each churner is extracted — this vector captures not just which features matter, but the direction and magnitude of each feature's contribution to that individual's churn prediction. Third, k-means clustering is applied to the matrix of SHAP vectors to group churners into </w:t>
      </w:r>
      <w:proofErr w:type="spellStart"/>
      <w:r w:rsidRPr="00275A87">
        <w:rPr>
          <w:color w:val="000000" w:themeColor="text1"/>
          <w:sz w:val="22"/>
          <w:szCs w:val="22"/>
        </w:rPr>
        <w:t>behaviourally</w:t>
      </w:r>
      <w:proofErr w:type="spellEnd"/>
      <w:r w:rsidRPr="00275A87">
        <w:rPr>
          <w:color w:val="000000" w:themeColor="text1"/>
          <w:sz w:val="22"/>
          <w:szCs w:val="22"/>
        </w:rPr>
        <w:t xml:space="preserve"> distinct segments. Fourth, each cluster is profiled by examining its dominant SHAP values to derive a reason-profile — for example, a "price-sensitive" cluster where monthly charges and contract length dominate, versus a "service-dissatisfied" cluster driven by customer service call frequency. Fifth, each segment is mapped to a tailored retention intervention.</w:t>
      </w:r>
    </w:p>
    <w:p w14:paraId="7F37B416" w14:textId="77777777" w:rsidR="00275A87" w:rsidRPr="00275A87" w:rsidRDefault="00275A87" w:rsidP="00275A87">
      <w:pPr>
        <w:spacing w:after="60"/>
        <w:ind w:left="360" w:firstLine="360"/>
        <w:jc w:val="both"/>
        <w:rPr>
          <w:color w:val="000000" w:themeColor="text1"/>
          <w:sz w:val="22"/>
          <w:szCs w:val="22"/>
        </w:rPr>
      </w:pPr>
      <w:r w:rsidRPr="00275A87">
        <w:rPr>
          <w:color w:val="000000" w:themeColor="text1"/>
          <w:sz w:val="22"/>
          <w:szCs w:val="22"/>
        </w:rPr>
        <w:t>Cluster validity will be assessed using silhouette scores, and representative customers from each cluster will be inspected manually to confirm that the segment profiles are coherent and actionable. This approach differs explicitly from El Attar and El-Hajj (2026), who clustered customers on raw feature values rather than on SHAP explanation vectors — meaning their segments reflect customer similarity, not explanation similarity.</w:t>
      </w:r>
    </w:p>
    <w:p w14:paraId="71BF544D" w14:textId="77777777" w:rsidR="00A50B08" w:rsidRDefault="0093381D">
      <w:pPr>
        <w:pStyle w:val="Heading2"/>
      </w:pPr>
      <w:bookmarkStart w:id="31" w:name="_Toc232184213"/>
      <w:r>
        <w:t xml:space="preserve">3.7 </w:t>
      </w:r>
      <w:proofErr w:type="spellStart"/>
      <w:r>
        <w:t>Streamlit</w:t>
      </w:r>
      <w:proofErr w:type="spellEnd"/>
      <w:r>
        <w:t xml:space="preserve"> Application</w:t>
      </w:r>
      <w:bookmarkEnd w:id="31"/>
    </w:p>
    <w:p w14:paraId="4336E6C2" w14:textId="3B047303"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 xml:space="preserve">A web-based demonstration tool will be built using </w:t>
      </w:r>
      <w:proofErr w:type="spellStart"/>
      <w:r w:rsidRPr="00275A87">
        <w:rPr>
          <w:color w:val="000000" w:themeColor="text1"/>
          <w:sz w:val="22"/>
          <w:szCs w:val="22"/>
        </w:rPr>
        <w:t>Streamlit</w:t>
      </w:r>
      <w:proofErr w:type="spellEnd"/>
      <w:r w:rsidRPr="00275A87">
        <w:rPr>
          <w:color w:val="000000" w:themeColor="text1"/>
          <w:sz w:val="22"/>
          <w:szCs w:val="22"/>
        </w:rPr>
        <w:t xml:space="preserve"> to make the framework accessible to non-technical users. The application will allow a marketer to select or input a customer profile and receive three outputs: a churn probability from the trained model, side-by-side SHAP and LIME explanation </w:t>
      </w:r>
      <w:proofErr w:type="spellStart"/>
      <w:r w:rsidRPr="00275A87">
        <w:rPr>
          <w:color w:val="000000" w:themeColor="text1"/>
          <w:sz w:val="22"/>
          <w:szCs w:val="22"/>
        </w:rPr>
        <w:t>visualisations</w:t>
      </w:r>
      <w:proofErr w:type="spellEnd"/>
      <w:r w:rsidRPr="00275A87">
        <w:rPr>
          <w:color w:val="000000" w:themeColor="text1"/>
          <w:sz w:val="22"/>
          <w:szCs w:val="22"/>
        </w:rPr>
        <w:t xml:space="preserve"> for that prediction, and the customer's assigned churn segment with a corresponding retention recommendation. The application will be hosted on GitHub with a pinned requirements.txt file to ensure environment reproducibility. This tool bridges the gap between research output and practical deployment.</w:t>
      </w:r>
    </w:p>
    <w:p w14:paraId="2C3F7C31" w14:textId="77777777" w:rsidR="00A50B08" w:rsidRDefault="0093381D">
      <w:pPr>
        <w:pStyle w:val="Heading2"/>
      </w:pPr>
      <w:bookmarkStart w:id="32" w:name="_Toc232184214"/>
      <w:r>
        <w:t>3</w:t>
      </w:r>
      <w:r>
        <w:t>.8 Ethical Considerations</w:t>
      </w:r>
      <w:bookmarkEnd w:id="32"/>
    </w:p>
    <w:p w14:paraId="1A8C23DE" w14:textId="5ABC9ECD"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 xml:space="preserve">The Cell2Cell dataset is fully </w:t>
      </w:r>
      <w:proofErr w:type="spellStart"/>
      <w:r w:rsidRPr="00275A87">
        <w:rPr>
          <w:color w:val="000000" w:themeColor="text1"/>
          <w:sz w:val="22"/>
          <w:szCs w:val="22"/>
        </w:rPr>
        <w:t>anonymised</w:t>
      </w:r>
      <w:proofErr w:type="spellEnd"/>
      <w:r w:rsidRPr="00275A87">
        <w:rPr>
          <w:color w:val="000000" w:themeColor="text1"/>
          <w:sz w:val="22"/>
          <w:szCs w:val="22"/>
        </w:rPr>
        <w:t xml:space="preserve"> and publicly available, meaning no fresh ethics approval is required. However, ethical concerns extend beyond data access. Bias and fairness audits will be conducted across available demographic variables — specifically age and gender — using demographic parity and </w:t>
      </w:r>
      <w:proofErr w:type="spellStart"/>
      <w:r w:rsidRPr="00275A87">
        <w:rPr>
          <w:color w:val="000000" w:themeColor="text1"/>
          <w:sz w:val="22"/>
          <w:szCs w:val="22"/>
        </w:rPr>
        <w:t>equalised</w:t>
      </w:r>
      <w:proofErr w:type="spellEnd"/>
      <w:r w:rsidRPr="00275A87">
        <w:rPr>
          <w:color w:val="000000" w:themeColor="text1"/>
          <w:sz w:val="22"/>
          <w:szCs w:val="22"/>
        </w:rPr>
        <w:t xml:space="preserve"> odds as evaluation criteria (Selbst and Barocas, 2018). The risk that explanation methods can be manipulated to mask discriminatory model </w:t>
      </w:r>
      <w:proofErr w:type="spellStart"/>
      <w:r w:rsidRPr="00275A87">
        <w:rPr>
          <w:color w:val="000000" w:themeColor="text1"/>
          <w:sz w:val="22"/>
          <w:szCs w:val="22"/>
        </w:rPr>
        <w:t>behaviour</w:t>
      </w:r>
      <w:proofErr w:type="spellEnd"/>
      <w:r w:rsidRPr="00275A87">
        <w:rPr>
          <w:color w:val="000000" w:themeColor="text1"/>
          <w:sz w:val="22"/>
          <w:szCs w:val="22"/>
        </w:rPr>
        <w:t xml:space="preserve"> is acknowledged (Wachter, Mittelstadt and Russell, 2018). These risks are addressed further in the future work recommendations.</w:t>
      </w:r>
    </w:p>
    <w:p w14:paraId="75ACE433" w14:textId="77777777" w:rsidR="00A50B08" w:rsidRDefault="0093381D">
      <w:pPr>
        <w:pStyle w:val="Heading2"/>
      </w:pPr>
      <w:bookmarkStart w:id="33" w:name="_Toc232184215"/>
      <w:r>
        <w:lastRenderedPageBreak/>
        <w:t>3.9 Tools, Environment, and Reproducibility</w:t>
      </w:r>
      <w:bookmarkEnd w:id="33"/>
    </w:p>
    <w:p w14:paraId="4E802C13" w14:textId="0B66F5F0" w:rsidR="00A50B08" w:rsidRPr="00275A87" w:rsidRDefault="00275A87" w:rsidP="00275A87">
      <w:pPr>
        <w:spacing w:after="60"/>
        <w:ind w:left="360" w:firstLine="360"/>
        <w:jc w:val="both"/>
        <w:rPr>
          <w:color w:val="000000" w:themeColor="text1"/>
          <w:sz w:val="28"/>
          <w:szCs w:val="28"/>
        </w:rPr>
      </w:pPr>
      <w:r w:rsidRPr="00275A87">
        <w:rPr>
          <w:color w:val="000000" w:themeColor="text1"/>
          <w:sz w:val="22"/>
          <w:szCs w:val="22"/>
        </w:rPr>
        <w:t xml:space="preserve">All experiments will be implemented in Python 3.11+ using the following core libraries: scikit-learn for classification and clustering, </w:t>
      </w:r>
      <w:proofErr w:type="spellStart"/>
      <w:r w:rsidRPr="00275A87">
        <w:rPr>
          <w:color w:val="000000" w:themeColor="text1"/>
          <w:sz w:val="22"/>
          <w:szCs w:val="22"/>
        </w:rPr>
        <w:t>xgboost</w:t>
      </w:r>
      <w:proofErr w:type="spellEnd"/>
      <w:r w:rsidRPr="00275A87">
        <w:rPr>
          <w:color w:val="000000" w:themeColor="text1"/>
          <w:sz w:val="22"/>
          <w:szCs w:val="22"/>
        </w:rPr>
        <w:t xml:space="preserve"> for gradient boosting, imbalanced-learn for SMOTE, </w:t>
      </w:r>
      <w:proofErr w:type="spellStart"/>
      <w:r w:rsidRPr="00275A87">
        <w:rPr>
          <w:color w:val="000000" w:themeColor="text1"/>
          <w:sz w:val="22"/>
          <w:szCs w:val="22"/>
        </w:rPr>
        <w:t>shap</w:t>
      </w:r>
      <w:proofErr w:type="spellEnd"/>
      <w:r w:rsidRPr="00275A87">
        <w:rPr>
          <w:color w:val="000000" w:themeColor="text1"/>
          <w:sz w:val="22"/>
          <w:szCs w:val="22"/>
        </w:rPr>
        <w:t xml:space="preserve"> and lime for explanation generation, and </w:t>
      </w:r>
      <w:proofErr w:type="spellStart"/>
      <w:r w:rsidRPr="00275A87">
        <w:rPr>
          <w:color w:val="000000" w:themeColor="text1"/>
          <w:sz w:val="22"/>
          <w:szCs w:val="22"/>
        </w:rPr>
        <w:t>streamlit</w:t>
      </w:r>
      <w:proofErr w:type="spellEnd"/>
      <w:r w:rsidRPr="00275A87">
        <w:rPr>
          <w:color w:val="000000" w:themeColor="text1"/>
          <w:sz w:val="22"/>
          <w:szCs w:val="22"/>
        </w:rPr>
        <w:t xml:space="preserve"> for the demonstration tool. </w:t>
      </w:r>
      <w:proofErr w:type="spellStart"/>
      <w:r w:rsidRPr="00275A87">
        <w:rPr>
          <w:color w:val="000000" w:themeColor="text1"/>
          <w:sz w:val="22"/>
          <w:szCs w:val="22"/>
        </w:rPr>
        <w:t>Visualisation</w:t>
      </w:r>
      <w:proofErr w:type="spellEnd"/>
      <w:r w:rsidRPr="00275A87">
        <w:rPr>
          <w:color w:val="000000" w:themeColor="text1"/>
          <w:sz w:val="22"/>
          <w:szCs w:val="22"/>
        </w:rPr>
        <w:t xml:space="preserve"> will use matplotlib, seaborn, and </w:t>
      </w:r>
      <w:proofErr w:type="spellStart"/>
      <w:r w:rsidRPr="00275A87">
        <w:rPr>
          <w:color w:val="000000" w:themeColor="text1"/>
          <w:sz w:val="22"/>
          <w:szCs w:val="22"/>
        </w:rPr>
        <w:t>plotly</w:t>
      </w:r>
      <w:proofErr w:type="spellEnd"/>
      <w:r w:rsidRPr="00275A87">
        <w:rPr>
          <w:color w:val="000000" w:themeColor="text1"/>
          <w:sz w:val="22"/>
          <w:szCs w:val="22"/>
        </w:rPr>
        <w:t xml:space="preserve">. Development will take place in VS Code with </w:t>
      </w:r>
      <w:proofErr w:type="spellStart"/>
      <w:r w:rsidRPr="00275A87">
        <w:rPr>
          <w:color w:val="000000" w:themeColor="text1"/>
          <w:sz w:val="22"/>
          <w:szCs w:val="22"/>
        </w:rPr>
        <w:t>Jupyter</w:t>
      </w:r>
      <w:proofErr w:type="spellEnd"/>
      <w:r w:rsidRPr="00275A87">
        <w:rPr>
          <w:color w:val="000000" w:themeColor="text1"/>
          <w:sz w:val="22"/>
          <w:szCs w:val="22"/>
        </w:rPr>
        <w:t xml:space="preserve"> notebooks on a Windows environment. All code will be version-controlled via Git and hosted on GitHub. Random seeds will be fixed at 42 across every stochastic operation, and all library versions will be pinned in requirements.txt to guarantee full reproducibility.</w:t>
      </w:r>
    </w:p>
    <w:p w14:paraId="2627BA22" w14:textId="77777777" w:rsidR="00A50B08" w:rsidRDefault="0093381D">
      <w:r>
        <w:br w:type="page"/>
      </w:r>
    </w:p>
    <w:p w14:paraId="5D1C6D09" w14:textId="77777777" w:rsidR="00A50B08" w:rsidRDefault="0093381D">
      <w:pPr>
        <w:pStyle w:val="Heading1"/>
      </w:pPr>
      <w:bookmarkStart w:id="34" w:name="_Toc232184216"/>
      <w:r>
        <w:lastRenderedPageBreak/>
        <w:t>4. Timetable and Risk Management</w:t>
      </w:r>
      <w:bookmarkEnd w:id="34"/>
    </w:p>
    <w:p w14:paraId="7961B421" w14:textId="77777777" w:rsidR="00A50B08" w:rsidRDefault="0093381D">
      <w:pPr>
        <w:pStyle w:val="Heading2"/>
      </w:pPr>
      <w:bookmarkStart w:id="35" w:name="_Toc232184217"/>
      <w:r>
        <w:t>4.1 Project Timeline</w:t>
      </w:r>
      <w:bookmarkEnd w:id="35"/>
    </w:p>
    <w:p w14:paraId="4BD267FB" w14:textId="77777777" w:rsidR="00BC0951" w:rsidRPr="00BC0951" w:rsidRDefault="00BC0951" w:rsidP="00BC0951">
      <w:pPr>
        <w:spacing w:after="60"/>
        <w:ind w:left="360" w:firstLine="360"/>
        <w:jc w:val="both"/>
        <w:rPr>
          <w:color w:val="000000" w:themeColor="text1"/>
          <w:sz w:val="22"/>
          <w:szCs w:val="22"/>
        </w:rPr>
      </w:pPr>
      <w:r w:rsidRPr="00BC0951">
        <w:rPr>
          <w:color w:val="000000" w:themeColor="text1"/>
          <w:sz w:val="22"/>
          <w:szCs w:val="22"/>
        </w:rPr>
        <w:t>The project spans sixteen weeks from 5 May 2026 to 24 August 2026, structured across twelve phases that balance sequential dependencies with deliberate parallelism. Three fixed milestones anchor the schedule: the AE1 proposal submission on 15 June, the AE2 dissertation submission on 21 August, and the AE3 presentation in the week commencing 24 August.</w:t>
      </w:r>
    </w:p>
    <w:p w14:paraId="61EBE1F2" w14:textId="77777777" w:rsidR="00BC0951" w:rsidRPr="00BC0951" w:rsidRDefault="00BC0951" w:rsidP="00BC0951">
      <w:pPr>
        <w:pStyle w:val="ListParagraph"/>
        <w:numPr>
          <w:ilvl w:val="0"/>
          <w:numId w:val="3"/>
        </w:numPr>
        <w:spacing w:after="60"/>
        <w:jc w:val="both"/>
        <w:rPr>
          <w:color w:val="000000" w:themeColor="text1"/>
          <w:sz w:val="22"/>
          <w:szCs w:val="22"/>
        </w:rPr>
      </w:pPr>
      <w:r w:rsidRPr="00BC0951">
        <w:rPr>
          <w:color w:val="000000" w:themeColor="text1"/>
          <w:sz w:val="22"/>
          <w:szCs w:val="22"/>
        </w:rPr>
        <w:t>The first three phases cover foundational work. Phase 1 (Weeks 1–2) focuses on supervisor onboarding, topic confirmation, and scope agreement. Phase 2 (Weeks 2–4) runs the literature review, with a hard internal deadline of 8 June to ensure the proposal can be drafted with a complete theoretical grounding. Phase 3 (Weeks 3–5) covers proposal writing and AE1 submission.</w:t>
      </w:r>
    </w:p>
    <w:p w14:paraId="3147F1FB" w14:textId="77777777" w:rsidR="00BC0951" w:rsidRPr="00BC0951" w:rsidRDefault="00BC0951" w:rsidP="00BC0951">
      <w:pPr>
        <w:pStyle w:val="ListParagraph"/>
        <w:numPr>
          <w:ilvl w:val="0"/>
          <w:numId w:val="3"/>
        </w:numPr>
        <w:spacing w:after="60"/>
        <w:jc w:val="both"/>
        <w:rPr>
          <w:color w:val="000000" w:themeColor="text1"/>
          <w:sz w:val="22"/>
          <w:szCs w:val="22"/>
        </w:rPr>
      </w:pPr>
      <w:r w:rsidRPr="00BC0951">
        <w:rPr>
          <w:color w:val="000000" w:themeColor="text1"/>
          <w:sz w:val="22"/>
          <w:szCs w:val="22"/>
        </w:rPr>
        <w:t xml:space="preserve">The analytical core of the project begins immediately after AE1 submission. Phase 4 (Weeks 6–7) handles data acquisition, exploratory data analysis, and preprocessing of the Cell2Cell dataset — including imputation, encoding, scaling, and the 70/30 train-test split with SMOTE applied to the training partition only. Phase 5 (Weeks 7–8) covers model training, hyperparameter tuning via grid search with 5-fold cross-validation, and baseline evaluation across Logistic Regression, Random Forest, and </w:t>
      </w:r>
      <w:proofErr w:type="spellStart"/>
      <w:r w:rsidRPr="00BC0951">
        <w:rPr>
          <w:color w:val="000000" w:themeColor="text1"/>
          <w:sz w:val="22"/>
          <w:szCs w:val="22"/>
        </w:rPr>
        <w:t>XGBoost</w:t>
      </w:r>
      <w:proofErr w:type="spellEnd"/>
      <w:r w:rsidRPr="00BC0951">
        <w:rPr>
          <w:color w:val="000000" w:themeColor="text1"/>
          <w:sz w:val="22"/>
          <w:szCs w:val="22"/>
        </w:rPr>
        <w:t xml:space="preserve">. Phase 6 (Weeks 8–9) applies SHAP and LIME to the best-performing model and generates explanation outputs for the full test set. Phase 7 (Weeks 9–10) conducts the quantitative evaluation of explanations across the four metrics: fidelity, stability, sparsity, and inter-method agreement. Phase 8 (Weeks 10–11) performs the SHAP-based k-means clustering to derive churn segments and maps each cluster to a retention intervention. Phase 9 (Weeks 11–12) builds the </w:t>
      </w:r>
      <w:proofErr w:type="spellStart"/>
      <w:r w:rsidRPr="00BC0951">
        <w:rPr>
          <w:color w:val="000000" w:themeColor="text1"/>
          <w:sz w:val="22"/>
          <w:szCs w:val="22"/>
        </w:rPr>
        <w:t>Streamlit</w:t>
      </w:r>
      <w:proofErr w:type="spellEnd"/>
      <w:r w:rsidRPr="00BC0951">
        <w:rPr>
          <w:color w:val="000000" w:themeColor="text1"/>
          <w:sz w:val="22"/>
          <w:szCs w:val="22"/>
        </w:rPr>
        <w:t xml:space="preserve"> demonstration tool.</w:t>
      </w:r>
    </w:p>
    <w:p w14:paraId="301B07B2" w14:textId="77777777" w:rsidR="00BC0951" w:rsidRPr="00BC0951" w:rsidRDefault="00BC0951" w:rsidP="00BC0951">
      <w:pPr>
        <w:pStyle w:val="ListParagraph"/>
        <w:numPr>
          <w:ilvl w:val="0"/>
          <w:numId w:val="3"/>
        </w:numPr>
        <w:spacing w:after="60"/>
        <w:jc w:val="both"/>
        <w:rPr>
          <w:color w:val="000000" w:themeColor="text1"/>
          <w:sz w:val="22"/>
          <w:szCs w:val="22"/>
        </w:rPr>
      </w:pPr>
      <w:r w:rsidRPr="00BC0951">
        <w:rPr>
          <w:color w:val="000000" w:themeColor="text1"/>
          <w:sz w:val="22"/>
          <w:szCs w:val="22"/>
        </w:rPr>
        <w:t>A critical design decision in this schedule is that Phase 11 — dissertation writing — begins in Week 11 and runs in parallel with Phases 8 and 9. This avoids the common pitfall of compressing all 10,000 words into the final fortnight. The target is a complete first draft by 4 August, leaving seventeen days for revision, proofreading, and supervisor feedback before the 21 August deadline. Phase 12 covers AE3 presentation preparation in the final week.</w:t>
      </w:r>
    </w:p>
    <w:p w14:paraId="18030584" w14:textId="77777777" w:rsidR="00BC0951" w:rsidRPr="00BC0951" w:rsidRDefault="00BC0951" w:rsidP="00BC0951">
      <w:pPr>
        <w:spacing w:after="60"/>
        <w:ind w:left="360"/>
        <w:jc w:val="both"/>
        <w:rPr>
          <w:color w:val="000000" w:themeColor="text1"/>
          <w:sz w:val="22"/>
          <w:szCs w:val="22"/>
        </w:rPr>
      </w:pPr>
      <w:r w:rsidRPr="00BC0951">
        <w:rPr>
          <w:color w:val="000000" w:themeColor="text1"/>
          <w:sz w:val="22"/>
          <w:szCs w:val="22"/>
        </w:rPr>
        <w:t>Approximately ten days of slack are distributed across the schedule, concentrated around Phases 4–5 and Phases 10–11, to absorb delays without cascading into downstream milestones.</w:t>
      </w:r>
    </w:p>
    <w:p w14:paraId="0F0BB715" w14:textId="77777777" w:rsidR="00A50B08" w:rsidRDefault="0093381D">
      <w:pPr>
        <w:spacing w:before="240" w:after="60"/>
        <w:jc w:val="center"/>
      </w:pPr>
      <w:r>
        <w:rPr>
          <w:noProof/>
        </w:rPr>
        <w:drawing>
          <wp:inline distT="0" distB="0" distL="0" distR="0" wp14:anchorId="47798070" wp14:editId="5B443ACD">
            <wp:extent cx="444674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4820" cy="2710015"/>
                    </a:xfrm>
                    <a:prstGeom prst="rect">
                      <a:avLst/>
                    </a:prstGeom>
                  </pic:spPr>
                </pic:pic>
              </a:graphicData>
            </a:graphic>
          </wp:inline>
        </w:drawing>
      </w:r>
    </w:p>
    <w:p w14:paraId="4F7B6C9B" w14:textId="77777777" w:rsidR="00A50B08" w:rsidRDefault="0093381D">
      <w:pPr>
        <w:spacing w:before="60" w:after="240"/>
        <w:jc w:val="center"/>
      </w:pPr>
      <w:r>
        <w:rPr>
          <w:i/>
          <w:iCs/>
          <w:color w:val="555555"/>
          <w:sz w:val="20"/>
          <w:szCs w:val="20"/>
        </w:rPr>
        <w:t>Figure 1. Project Gantt chart, 5 May 2026 to 24 August 2026.</w:t>
      </w:r>
    </w:p>
    <w:p w14:paraId="4D025731" w14:textId="77777777" w:rsidR="00A50B08" w:rsidRDefault="0093381D">
      <w:pPr>
        <w:pStyle w:val="Heading2"/>
      </w:pPr>
      <w:bookmarkStart w:id="36" w:name="_Toc232184218"/>
      <w:r>
        <w:lastRenderedPageBreak/>
        <w:t>4.2 Risk Register</w:t>
      </w:r>
      <w:bookmarkEnd w:id="36"/>
    </w:p>
    <w:p w14:paraId="0A6F4BCE" w14:textId="77777777" w:rsidR="004E2E94" w:rsidRPr="004E2E94" w:rsidRDefault="004E2E94" w:rsidP="004E2E94">
      <w:pPr>
        <w:spacing w:after="60"/>
        <w:jc w:val="both"/>
        <w:rPr>
          <w:color w:val="000000" w:themeColor="text1"/>
          <w:sz w:val="22"/>
          <w:szCs w:val="22"/>
        </w:rPr>
      </w:pPr>
      <w:r w:rsidRPr="004E2E94">
        <w:rPr>
          <w:color w:val="000000" w:themeColor="text1"/>
          <w:sz w:val="22"/>
          <w:szCs w:val="22"/>
        </w:rPr>
        <w:t>Ten risks have been identified, assessed by likelihood and impact, and paired with specific mitigation strategies. Table 1 presents the full register.</w:t>
      </w:r>
    </w:p>
    <w:p w14:paraId="6ABBD74E"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Dataset quality issues</w:t>
      </w:r>
      <w:r w:rsidRPr="004E2E94">
        <w:rPr>
          <w:color w:val="000000" w:themeColor="text1"/>
          <w:sz w:val="22"/>
          <w:szCs w:val="22"/>
        </w:rPr>
        <w:t xml:space="preserve"> such as missing values, label leakage, or encoding inconsistencies carry medium likelihood but high impact, since flawed data would undermine every downstream result. A three-day buffer is built into Phase 4, and the IBM Telco dataset (7,043 rows, 21 attributes) is available as a fallback. A thorough </w:t>
      </w:r>
      <w:proofErr w:type="gramStart"/>
      <w:r w:rsidRPr="004E2E94">
        <w:rPr>
          <w:color w:val="000000" w:themeColor="text1"/>
          <w:sz w:val="22"/>
          <w:szCs w:val="22"/>
        </w:rPr>
        <w:t>exploratory data</w:t>
      </w:r>
      <w:proofErr w:type="gramEnd"/>
      <w:r w:rsidRPr="004E2E94">
        <w:rPr>
          <w:color w:val="000000" w:themeColor="text1"/>
          <w:sz w:val="22"/>
          <w:szCs w:val="22"/>
        </w:rPr>
        <w:t xml:space="preserve"> analysis will be completed before any modelling begins.</w:t>
      </w:r>
    </w:p>
    <w:p w14:paraId="433FB163"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Computational constraints</w:t>
      </w:r>
      <w:r w:rsidRPr="004E2E94">
        <w:rPr>
          <w:color w:val="000000" w:themeColor="text1"/>
          <w:sz w:val="22"/>
          <w:szCs w:val="22"/>
        </w:rPr>
        <w:t xml:space="preserve"> from training and tuning </w:t>
      </w:r>
      <w:proofErr w:type="spellStart"/>
      <w:r w:rsidRPr="004E2E94">
        <w:rPr>
          <w:color w:val="000000" w:themeColor="text1"/>
          <w:sz w:val="22"/>
          <w:szCs w:val="22"/>
        </w:rPr>
        <w:t>XGBoost</w:t>
      </w:r>
      <w:proofErr w:type="spellEnd"/>
      <w:r w:rsidRPr="004E2E94">
        <w:rPr>
          <w:color w:val="000000" w:themeColor="text1"/>
          <w:sz w:val="22"/>
          <w:szCs w:val="22"/>
        </w:rPr>
        <w:t xml:space="preserve"> on 71,047 records may exceed local laptop capacity. Google </w:t>
      </w:r>
      <w:proofErr w:type="spellStart"/>
      <w:r w:rsidRPr="004E2E94">
        <w:rPr>
          <w:color w:val="000000" w:themeColor="text1"/>
          <w:sz w:val="22"/>
          <w:szCs w:val="22"/>
        </w:rPr>
        <w:t>Colab</w:t>
      </w:r>
      <w:proofErr w:type="spellEnd"/>
      <w:r w:rsidRPr="004E2E94">
        <w:rPr>
          <w:color w:val="000000" w:themeColor="text1"/>
          <w:sz w:val="22"/>
          <w:szCs w:val="22"/>
        </w:rPr>
        <w:t xml:space="preserve"> will serve as a compute fallback, and grid search resolution can be reduced if runtime becomes prohibitive. Likelihood is medium and impact is medium.</w:t>
      </w:r>
    </w:p>
    <w:p w14:paraId="7D850BF0"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LIME instability</w:t>
      </w:r>
      <w:r w:rsidRPr="004E2E94">
        <w:rPr>
          <w:color w:val="000000" w:themeColor="text1"/>
          <w:sz w:val="22"/>
          <w:szCs w:val="22"/>
        </w:rPr>
        <w:t xml:space="preserve"> is rated high likelihood but low impact because it is an expected finding rather than a project failure. The instability will be documented and </w:t>
      </w:r>
      <w:proofErr w:type="spellStart"/>
      <w:r w:rsidRPr="004E2E94">
        <w:rPr>
          <w:color w:val="000000" w:themeColor="text1"/>
          <w:sz w:val="22"/>
          <w:szCs w:val="22"/>
        </w:rPr>
        <w:t>characterised</w:t>
      </w:r>
      <w:proofErr w:type="spellEnd"/>
      <w:r w:rsidRPr="004E2E94">
        <w:rPr>
          <w:color w:val="000000" w:themeColor="text1"/>
          <w:sz w:val="22"/>
          <w:szCs w:val="22"/>
        </w:rPr>
        <w:t xml:space="preserve"> through fixed random seeds and multiple sampling runs, contributing directly to the stability metric in Aim 2.</w:t>
      </w:r>
    </w:p>
    <w:p w14:paraId="7427E262"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Fundamental disagreement between SHAP and LIME</w:t>
      </w:r>
      <w:r w:rsidRPr="004E2E94">
        <w:rPr>
          <w:color w:val="000000" w:themeColor="text1"/>
          <w:sz w:val="22"/>
          <w:szCs w:val="22"/>
        </w:rPr>
        <w:t xml:space="preserve"> with no clear winner is similarly high likelihood and low impact. This outcome reinforces the disagreement-problem literature reviewed in Section 2.3 and constitutes a valid research </w:t>
      </w:r>
      <w:proofErr w:type="gramStart"/>
      <w:r w:rsidRPr="004E2E94">
        <w:rPr>
          <w:color w:val="000000" w:themeColor="text1"/>
          <w:sz w:val="22"/>
          <w:szCs w:val="22"/>
        </w:rPr>
        <w:t>contribution in itself</w:t>
      </w:r>
      <w:proofErr w:type="gramEnd"/>
      <w:r w:rsidRPr="004E2E94">
        <w:rPr>
          <w:color w:val="000000" w:themeColor="text1"/>
          <w:sz w:val="22"/>
          <w:szCs w:val="22"/>
        </w:rPr>
        <w:t>.</w:t>
      </w:r>
    </w:p>
    <w:p w14:paraId="3924AE88"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Uninterpretable SHAP-vector clusters</w:t>
      </w:r>
      <w:r w:rsidRPr="004E2E94">
        <w:rPr>
          <w:color w:val="000000" w:themeColor="text1"/>
          <w:sz w:val="22"/>
          <w:szCs w:val="22"/>
        </w:rPr>
        <w:t xml:space="preserve"> carry medium likelihood and high impact, as the segmentation layer is the project's novel contribution. Mitigation includes testing alternative clustering algorithms (hierarchical, DBSCAN), applying PCA dimensionality reduction before clustering, and — if clusters remain incoherent — reporting this honestly as a finding about the limits of feature-attribution-based segmentation.</w:t>
      </w:r>
    </w:p>
    <w:p w14:paraId="4F4864A8"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Literature review overrun</w:t>
      </w:r>
      <w:r w:rsidRPr="004E2E94">
        <w:rPr>
          <w:color w:val="000000" w:themeColor="text1"/>
          <w:sz w:val="22"/>
          <w:szCs w:val="22"/>
        </w:rPr>
        <w:t xml:space="preserve"> is rated high likelihood and high impact. The hard internal deadline of 8 June and biweekly supervisor check-ins enforce discipline. The pragmatic principle is to accept a thorough-enough review over a perfect one.</w:t>
      </w:r>
    </w:p>
    <w:p w14:paraId="274A654A"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Supervisor unavailability</w:t>
      </w:r>
      <w:r w:rsidRPr="004E2E94">
        <w:rPr>
          <w:color w:val="000000" w:themeColor="text1"/>
          <w:sz w:val="22"/>
          <w:szCs w:val="22"/>
        </w:rPr>
        <w:t xml:space="preserve"> during critical review periods is mitigated by confirming availability at the first meeting, booking sessions in advance, and agreeing on an asynchronous feedback workflow via email for periods of limited access.</w:t>
      </w:r>
    </w:p>
    <w:p w14:paraId="6C1C7CB4"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Scope creep</w:t>
      </w:r>
      <w:r w:rsidRPr="004E2E94">
        <w:rPr>
          <w:color w:val="000000" w:themeColor="text1"/>
          <w:sz w:val="22"/>
          <w:szCs w:val="22"/>
        </w:rPr>
        <w:t xml:space="preserve"> — the temptation to add counterfactual explanations, deep learning classifiers, or NLP on customer feedback text — is high likelihood and medium impact. An explicit scope statement in this proposal defines the boundary; additional methods are relegated to the future work section, and the supervisor enforces scope discipline at each meeting.</w:t>
      </w:r>
    </w:p>
    <w:p w14:paraId="1BE907C5" w14:textId="77777777" w:rsidR="004E2E94" w:rsidRPr="004E2E94" w:rsidRDefault="004E2E94" w:rsidP="004E2E94">
      <w:pPr>
        <w:pStyle w:val="ListParagraph"/>
        <w:numPr>
          <w:ilvl w:val="0"/>
          <w:numId w:val="4"/>
        </w:numPr>
        <w:spacing w:after="60"/>
        <w:jc w:val="both"/>
        <w:rPr>
          <w:color w:val="000000" w:themeColor="text1"/>
          <w:sz w:val="22"/>
          <w:szCs w:val="22"/>
        </w:rPr>
      </w:pPr>
      <w:r w:rsidRPr="004E2E94">
        <w:rPr>
          <w:b/>
          <w:bCs/>
          <w:color w:val="000000" w:themeColor="text1"/>
          <w:sz w:val="22"/>
          <w:szCs w:val="22"/>
        </w:rPr>
        <w:t>Reproducibility failure</w:t>
      </w:r>
      <w:r w:rsidRPr="004E2E94">
        <w:rPr>
          <w:color w:val="000000" w:themeColor="text1"/>
          <w:sz w:val="22"/>
          <w:szCs w:val="22"/>
        </w:rPr>
        <w:t xml:space="preserve"> is mitigated through fixed seeds at 42 across all stochastic operations, a pinned requirements.txt, and weekly commits to GitHub. Likelihood is medium and impact is low.</w:t>
      </w:r>
    </w:p>
    <w:p w14:paraId="332DEF7A" w14:textId="63996E56" w:rsidR="00A50B08" w:rsidRPr="00C9190E" w:rsidRDefault="004E2E94" w:rsidP="00C9190E">
      <w:pPr>
        <w:pStyle w:val="ListParagraph"/>
        <w:numPr>
          <w:ilvl w:val="0"/>
          <w:numId w:val="4"/>
        </w:numPr>
        <w:spacing w:after="60"/>
        <w:jc w:val="both"/>
        <w:rPr>
          <w:color w:val="000000" w:themeColor="text1"/>
          <w:sz w:val="22"/>
          <w:szCs w:val="22"/>
        </w:rPr>
      </w:pPr>
      <w:r w:rsidRPr="004E2E94">
        <w:rPr>
          <w:b/>
          <w:bCs/>
          <w:color w:val="000000" w:themeColor="text1"/>
          <w:sz w:val="22"/>
          <w:szCs w:val="22"/>
        </w:rPr>
        <w:t>AE2 deadline pressure</w:t>
      </w:r>
      <w:r w:rsidRPr="004E2E94">
        <w:rPr>
          <w:color w:val="000000" w:themeColor="text1"/>
          <w:sz w:val="22"/>
          <w:szCs w:val="22"/>
        </w:rPr>
        <w:t xml:space="preserve"> is addressed structurally by beginning dissertation writing in Week 11 (Phase 11), targeting a first complete draft by 4 August, and reserving seventeen days for revision.</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20"/>
        <w:gridCol w:w="1163"/>
        <w:gridCol w:w="918"/>
        <w:gridCol w:w="4299"/>
      </w:tblGrid>
      <w:tr w:rsidR="00A50B08" w14:paraId="01D7E03B"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E5E7EB"/>
            <w:tcMar>
              <w:top w:w="80" w:type="dxa"/>
              <w:left w:w="120" w:type="dxa"/>
              <w:bottom w:w="80" w:type="dxa"/>
              <w:right w:w="120" w:type="dxa"/>
            </w:tcMar>
          </w:tcPr>
          <w:p w14:paraId="0448FC48" w14:textId="77777777" w:rsidR="00A50B08" w:rsidRDefault="0093381D">
            <w:r>
              <w:rPr>
                <w:b/>
                <w:bCs/>
                <w:sz w:val="20"/>
                <w:szCs w:val="20"/>
              </w:rPr>
              <w:t>R</w:t>
            </w:r>
            <w:r>
              <w:rPr>
                <w:b/>
                <w:bCs/>
                <w:sz w:val="20"/>
                <w:szCs w:val="20"/>
              </w:rPr>
              <w:t>isk</w:t>
            </w:r>
          </w:p>
        </w:tc>
        <w:tc>
          <w:tcPr>
            <w:tcW w:w="900" w:type="dxa"/>
            <w:tcBorders>
              <w:top w:val="single" w:sz="4" w:space="0" w:color="999999"/>
              <w:left w:val="single" w:sz="4" w:space="0" w:color="999999"/>
              <w:bottom w:val="single" w:sz="4" w:space="0" w:color="999999"/>
              <w:right w:val="single" w:sz="4" w:space="0" w:color="999999"/>
            </w:tcBorders>
            <w:shd w:val="clear" w:color="auto" w:fill="E5E7EB"/>
            <w:tcMar>
              <w:top w:w="80" w:type="dxa"/>
              <w:left w:w="120" w:type="dxa"/>
              <w:bottom w:w="80" w:type="dxa"/>
              <w:right w:w="120" w:type="dxa"/>
            </w:tcMar>
          </w:tcPr>
          <w:p w14:paraId="7F030B47" w14:textId="77777777" w:rsidR="00A50B08" w:rsidRDefault="0093381D">
            <w:pPr>
              <w:jc w:val="center"/>
            </w:pPr>
            <w:r>
              <w:rPr>
                <w:b/>
                <w:bCs/>
                <w:sz w:val="20"/>
                <w:szCs w:val="20"/>
              </w:rPr>
              <w:t>Likelihood</w:t>
            </w:r>
          </w:p>
        </w:tc>
        <w:tc>
          <w:tcPr>
            <w:tcW w:w="900" w:type="dxa"/>
            <w:tcBorders>
              <w:top w:val="single" w:sz="4" w:space="0" w:color="999999"/>
              <w:left w:val="single" w:sz="4" w:space="0" w:color="999999"/>
              <w:bottom w:val="single" w:sz="4" w:space="0" w:color="999999"/>
              <w:right w:val="single" w:sz="4" w:space="0" w:color="999999"/>
            </w:tcBorders>
            <w:shd w:val="clear" w:color="auto" w:fill="E5E7EB"/>
            <w:tcMar>
              <w:top w:w="80" w:type="dxa"/>
              <w:left w:w="120" w:type="dxa"/>
              <w:bottom w:w="80" w:type="dxa"/>
              <w:right w:w="120" w:type="dxa"/>
            </w:tcMar>
          </w:tcPr>
          <w:p w14:paraId="32D49AAE" w14:textId="77777777" w:rsidR="00A50B08" w:rsidRDefault="0093381D">
            <w:pPr>
              <w:jc w:val="center"/>
            </w:pPr>
            <w:r>
              <w:rPr>
                <w:b/>
                <w:bCs/>
                <w:sz w:val="20"/>
                <w:szCs w:val="20"/>
              </w:rPr>
              <w:t>Impact</w:t>
            </w:r>
          </w:p>
        </w:tc>
        <w:tc>
          <w:tcPr>
            <w:tcW w:w="4500" w:type="dxa"/>
            <w:tcBorders>
              <w:top w:val="single" w:sz="4" w:space="0" w:color="999999"/>
              <w:left w:val="single" w:sz="4" w:space="0" w:color="999999"/>
              <w:bottom w:val="single" w:sz="4" w:space="0" w:color="999999"/>
              <w:right w:val="single" w:sz="4" w:space="0" w:color="999999"/>
            </w:tcBorders>
            <w:shd w:val="clear" w:color="auto" w:fill="E5E7EB"/>
            <w:tcMar>
              <w:top w:w="80" w:type="dxa"/>
              <w:left w:w="120" w:type="dxa"/>
              <w:bottom w:w="80" w:type="dxa"/>
              <w:right w:w="120" w:type="dxa"/>
            </w:tcMar>
          </w:tcPr>
          <w:p w14:paraId="213ED0AA" w14:textId="77777777" w:rsidR="00A50B08" w:rsidRDefault="0093381D">
            <w:r>
              <w:rPr>
                <w:b/>
                <w:bCs/>
                <w:sz w:val="20"/>
                <w:szCs w:val="20"/>
              </w:rPr>
              <w:t>Mitigation</w:t>
            </w:r>
          </w:p>
        </w:tc>
      </w:tr>
      <w:tr w:rsidR="00A50B08" w14:paraId="2CD33F4B"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C1DC13" w14:textId="77777777" w:rsidR="00A50B08" w:rsidRDefault="0093381D">
            <w:r>
              <w:rPr>
                <w:sz w:val="20"/>
                <w:szCs w:val="20"/>
              </w:rPr>
              <w:t>Dataset quality issues (missing values, label leakage, encoding inconsistencies)</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2497EE" w14:textId="77777777" w:rsidR="00A50B08" w:rsidRDefault="0093381D">
            <w:pPr>
              <w:jc w:val="center"/>
            </w:pPr>
            <w:r>
              <w:rPr>
                <w:sz w:val="20"/>
                <w:szCs w:val="20"/>
              </w:rPr>
              <w:t>Medium</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E53378" w14:textId="77777777" w:rsidR="00A50B08" w:rsidRDefault="0093381D">
            <w:pPr>
              <w:jc w:val="center"/>
            </w:pPr>
            <w:r>
              <w:rPr>
                <w:sz w:val="20"/>
                <w:szCs w:val="20"/>
              </w:rPr>
              <w:t>High</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44A4C" w14:textId="77777777" w:rsidR="00A50B08" w:rsidRDefault="0093381D">
            <w:r>
              <w:rPr>
                <w:sz w:val="20"/>
                <w:szCs w:val="20"/>
              </w:rPr>
              <w:t>3-day buffer in Phase 4; IBM Telco (7,043 rows) as fallback dataset; full EDA before modelling.</w:t>
            </w:r>
          </w:p>
        </w:tc>
      </w:tr>
      <w:tr w:rsidR="00A50B08" w14:paraId="2CD799B5"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2FF97C" w14:textId="77777777" w:rsidR="00A50B08" w:rsidRDefault="0093381D">
            <w:proofErr w:type="spellStart"/>
            <w:r>
              <w:rPr>
                <w:sz w:val="20"/>
                <w:szCs w:val="20"/>
              </w:rPr>
              <w:t>XGBoost</w:t>
            </w:r>
            <w:proofErr w:type="spellEnd"/>
            <w:r>
              <w:rPr>
                <w:sz w:val="20"/>
                <w:szCs w:val="20"/>
              </w:rPr>
              <w:t xml:space="preserve"> training/tuning exceeds laptop capacity on 71k rows</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82F0B3" w14:textId="77777777" w:rsidR="00A50B08" w:rsidRDefault="0093381D">
            <w:pPr>
              <w:jc w:val="center"/>
            </w:pPr>
            <w:r>
              <w:rPr>
                <w:sz w:val="20"/>
                <w:szCs w:val="20"/>
              </w:rPr>
              <w:t>Medium</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58D705" w14:textId="77777777" w:rsidR="00A50B08" w:rsidRDefault="0093381D">
            <w:pPr>
              <w:jc w:val="center"/>
            </w:pPr>
            <w:r>
              <w:rPr>
                <w:sz w:val="20"/>
                <w:szCs w:val="20"/>
              </w:rPr>
              <w:t>Medium</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3DCC69" w14:textId="77777777" w:rsidR="00A50B08" w:rsidRDefault="0093381D">
            <w:r>
              <w:rPr>
                <w:sz w:val="20"/>
                <w:szCs w:val="20"/>
              </w:rPr>
              <w:t xml:space="preserve">Google </w:t>
            </w:r>
            <w:proofErr w:type="spellStart"/>
            <w:r>
              <w:rPr>
                <w:sz w:val="20"/>
                <w:szCs w:val="20"/>
              </w:rPr>
              <w:t>Colab</w:t>
            </w:r>
            <w:proofErr w:type="spellEnd"/>
            <w:r>
              <w:rPr>
                <w:sz w:val="20"/>
                <w:szCs w:val="20"/>
              </w:rPr>
              <w:t xml:space="preserve"> as compute fallback; reduce grid search resolution if needed.</w:t>
            </w:r>
          </w:p>
        </w:tc>
      </w:tr>
      <w:tr w:rsidR="00A50B08" w14:paraId="1B9C1D9E"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308C1E" w14:textId="77777777" w:rsidR="00A50B08" w:rsidRDefault="0093381D">
            <w:r>
              <w:rPr>
                <w:sz w:val="20"/>
                <w:szCs w:val="20"/>
              </w:rPr>
              <w:t>LIME produces highly unstable explanations</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7C5328" w14:textId="77777777" w:rsidR="00A50B08" w:rsidRDefault="0093381D">
            <w:pPr>
              <w:jc w:val="center"/>
            </w:pPr>
            <w:r>
              <w:rPr>
                <w:sz w:val="20"/>
                <w:szCs w:val="20"/>
              </w:rPr>
              <w:t>High</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8F13D4" w14:textId="77777777" w:rsidR="00A50B08" w:rsidRDefault="0093381D">
            <w:pPr>
              <w:jc w:val="center"/>
            </w:pPr>
            <w:r>
              <w:rPr>
                <w:sz w:val="20"/>
                <w:szCs w:val="20"/>
              </w:rPr>
              <w:t>Low</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F86DE0" w14:textId="77777777" w:rsidR="00A50B08" w:rsidRDefault="0093381D">
            <w:r>
              <w:rPr>
                <w:sz w:val="20"/>
                <w:szCs w:val="20"/>
              </w:rPr>
              <w:t xml:space="preserve">Expected finding; document and </w:t>
            </w:r>
            <w:proofErr w:type="spellStart"/>
            <w:r>
              <w:rPr>
                <w:sz w:val="20"/>
                <w:szCs w:val="20"/>
              </w:rPr>
              <w:t>characterise</w:t>
            </w:r>
            <w:proofErr w:type="spellEnd"/>
            <w:r>
              <w:rPr>
                <w:sz w:val="20"/>
                <w:szCs w:val="20"/>
              </w:rPr>
              <w:t xml:space="preserve"> the variance. Fixed seeds and multiple sampling runs.</w:t>
            </w:r>
          </w:p>
        </w:tc>
      </w:tr>
      <w:tr w:rsidR="00A50B08" w14:paraId="40F567D1"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28F7F6" w14:textId="77777777" w:rsidR="00A50B08" w:rsidRDefault="0093381D">
            <w:r>
              <w:rPr>
                <w:sz w:val="20"/>
                <w:szCs w:val="20"/>
              </w:rPr>
              <w:lastRenderedPageBreak/>
              <w:t>SHAP and LIME fundamentally disagree with no clear winner</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BD6FBB" w14:textId="77777777" w:rsidR="00A50B08" w:rsidRDefault="0093381D">
            <w:pPr>
              <w:jc w:val="center"/>
            </w:pPr>
            <w:r>
              <w:rPr>
                <w:sz w:val="20"/>
                <w:szCs w:val="20"/>
              </w:rPr>
              <w:t>High</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745132" w14:textId="77777777" w:rsidR="00A50B08" w:rsidRDefault="0093381D">
            <w:pPr>
              <w:jc w:val="center"/>
            </w:pPr>
            <w:r>
              <w:rPr>
                <w:sz w:val="20"/>
                <w:szCs w:val="20"/>
              </w:rPr>
              <w:t>Low</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5BB32D" w14:textId="77777777" w:rsidR="00A50B08" w:rsidRDefault="0093381D">
            <w:r>
              <w:rPr>
                <w:sz w:val="20"/>
                <w:szCs w:val="20"/>
              </w:rPr>
              <w:t>Valid research finding. Reinforces the disagreement-problem literature.</w:t>
            </w:r>
          </w:p>
        </w:tc>
      </w:tr>
      <w:tr w:rsidR="00A50B08" w14:paraId="45147095"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9C85AF" w14:textId="77777777" w:rsidR="00A50B08" w:rsidRDefault="0093381D">
            <w:r>
              <w:rPr>
                <w:sz w:val="20"/>
                <w:szCs w:val="20"/>
              </w:rPr>
              <w:t>SHAP-vector clusters lack clear interpretable reason-profiles</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C14C5D" w14:textId="77777777" w:rsidR="00A50B08" w:rsidRDefault="0093381D">
            <w:pPr>
              <w:jc w:val="center"/>
            </w:pPr>
            <w:r>
              <w:rPr>
                <w:sz w:val="20"/>
                <w:szCs w:val="20"/>
              </w:rPr>
              <w:t>Medium</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9B51B1" w14:textId="77777777" w:rsidR="00A50B08" w:rsidRDefault="0093381D">
            <w:pPr>
              <w:jc w:val="center"/>
            </w:pPr>
            <w:r>
              <w:rPr>
                <w:sz w:val="20"/>
                <w:szCs w:val="20"/>
              </w:rPr>
              <w:t>High</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99DF32" w14:textId="77777777" w:rsidR="00A50B08" w:rsidRDefault="0093381D">
            <w:r>
              <w:rPr>
                <w:sz w:val="20"/>
                <w:szCs w:val="20"/>
              </w:rPr>
              <w:t>Try multiple clustering methods (k-means, hierarchical, DBSCAN); apply PCA before clustering; report as a finding about feature-attribution limits if persistent.</w:t>
            </w:r>
          </w:p>
        </w:tc>
      </w:tr>
      <w:tr w:rsidR="00A50B08" w14:paraId="52C235FC"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2FE1CA" w14:textId="77777777" w:rsidR="00A50B08" w:rsidRDefault="0093381D">
            <w:r>
              <w:rPr>
                <w:sz w:val="20"/>
                <w:szCs w:val="20"/>
              </w:rPr>
              <w:t>Literature review takes longer than planned</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F5DE2C" w14:textId="77777777" w:rsidR="00A50B08" w:rsidRDefault="0093381D">
            <w:pPr>
              <w:jc w:val="center"/>
            </w:pPr>
            <w:r>
              <w:rPr>
                <w:sz w:val="20"/>
                <w:szCs w:val="20"/>
              </w:rPr>
              <w:t>High</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590504" w14:textId="77777777" w:rsidR="00A50B08" w:rsidRDefault="0093381D">
            <w:pPr>
              <w:jc w:val="center"/>
            </w:pPr>
            <w:r>
              <w:rPr>
                <w:sz w:val="20"/>
                <w:szCs w:val="20"/>
              </w:rPr>
              <w:t>High</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24BC9" w14:textId="77777777" w:rsidR="00A50B08" w:rsidRDefault="0093381D">
            <w:r>
              <w:rPr>
                <w:sz w:val="20"/>
                <w:szCs w:val="20"/>
              </w:rPr>
              <w:t>Hard deadline on lit review (8 June); accept good-enough over perfect; biweekly supervisor check-ins.</w:t>
            </w:r>
          </w:p>
        </w:tc>
      </w:tr>
      <w:tr w:rsidR="00A50B08" w14:paraId="5DBAB304"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9DE7D3" w14:textId="77777777" w:rsidR="00A50B08" w:rsidRDefault="0093381D">
            <w:r>
              <w:rPr>
                <w:sz w:val="20"/>
                <w:szCs w:val="20"/>
              </w:rPr>
              <w:t>Supervisor unavailable during critical review periods</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D37D57" w14:textId="77777777" w:rsidR="00A50B08" w:rsidRDefault="0093381D">
            <w:pPr>
              <w:jc w:val="center"/>
            </w:pPr>
            <w:r>
              <w:rPr>
                <w:sz w:val="20"/>
                <w:szCs w:val="20"/>
              </w:rPr>
              <w:t>Medium</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7C5DD4" w14:textId="77777777" w:rsidR="00A50B08" w:rsidRDefault="0093381D">
            <w:pPr>
              <w:jc w:val="center"/>
            </w:pPr>
            <w:r>
              <w:rPr>
                <w:sz w:val="20"/>
                <w:szCs w:val="20"/>
              </w:rPr>
              <w:t>Medium</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286515" w14:textId="77777777" w:rsidR="00A50B08" w:rsidRDefault="0093381D">
            <w:r>
              <w:rPr>
                <w:sz w:val="20"/>
                <w:szCs w:val="20"/>
              </w:rPr>
              <w:t>Confirm availability at first meeting; book sessions in advance; agree on async feedback workflow.</w:t>
            </w:r>
          </w:p>
        </w:tc>
      </w:tr>
      <w:tr w:rsidR="00A50B08" w14:paraId="43EE56EB"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7278DE" w14:textId="77777777" w:rsidR="00A50B08" w:rsidRDefault="0093381D">
            <w:r>
              <w:rPr>
                <w:sz w:val="20"/>
                <w:szCs w:val="20"/>
              </w:rPr>
              <w:t>Scope creep — adding counterfactuals, deep learning, NLP on feedback text</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93C35F" w14:textId="77777777" w:rsidR="00A50B08" w:rsidRDefault="0093381D">
            <w:pPr>
              <w:jc w:val="center"/>
            </w:pPr>
            <w:r>
              <w:rPr>
                <w:sz w:val="20"/>
                <w:szCs w:val="20"/>
              </w:rPr>
              <w:t>High</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BB14D7" w14:textId="77777777" w:rsidR="00A50B08" w:rsidRDefault="0093381D">
            <w:pPr>
              <w:jc w:val="center"/>
            </w:pPr>
            <w:r>
              <w:rPr>
                <w:sz w:val="20"/>
                <w:szCs w:val="20"/>
              </w:rPr>
              <w:t>Medium</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B4337" w14:textId="77777777" w:rsidR="00A50B08" w:rsidRDefault="0093381D">
            <w:r>
              <w:rPr>
                <w:sz w:val="20"/>
                <w:szCs w:val="20"/>
              </w:rPr>
              <w:t>Explicit scope statement in proposal; relegate additional methods to Future Work; supervisor enforces scope discipline.</w:t>
            </w:r>
          </w:p>
        </w:tc>
      </w:tr>
      <w:tr w:rsidR="00A50B08" w14:paraId="47C96644"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894938" w14:textId="77777777" w:rsidR="00A50B08" w:rsidRDefault="0093381D">
            <w:r>
              <w:rPr>
                <w:sz w:val="20"/>
                <w:szCs w:val="20"/>
              </w:rPr>
              <w:t>Reproducibility failure: code runs differently each execution</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CAA6A3" w14:textId="77777777" w:rsidR="00A50B08" w:rsidRDefault="0093381D">
            <w:pPr>
              <w:jc w:val="center"/>
            </w:pPr>
            <w:r>
              <w:rPr>
                <w:sz w:val="20"/>
                <w:szCs w:val="20"/>
              </w:rPr>
              <w:t>Medium</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678506" w14:textId="77777777" w:rsidR="00A50B08" w:rsidRDefault="0093381D">
            <w:pPr>
              <w:jc w:val="center"/>
            </w:pPr>
            <w:r>
              <w:rPr>
                <w:sz w:val="20"/>
                <w:szCs w:val="20"/>
              </w:rPr>
              <w:t>Low</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66E76F" w14:textId="77777777" w:rsidR="00A50B08" w:rsidRDefault="0093381D">
            <w:r>
              <w:rPr>
                <w:sz w:val="20"/>
                <w:szCs w:val="20"/>
              </w:rPr>
              <w:t>Fixed seeds throughout; requirements.txt pinned; weekly commits to GitHub.</w:t>
            </w:r>
          </w:p>
        </w:tc>
      </w:tr>
      <w:tr w:rsidR="00A50B08" w14:paraId="1E544304"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65097C" w14:textId="77777777" w:rsidR="00A50B08" w:rsidRDefault="0093381D">
            <w:r>
              <w:rPr>
                <w:sz w:val="20"/>
                <w:szCs w:val="20"/>
              </w:rPr>
              <w:t>AE2 deadline pressure: 10,000 words in final two weeks</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9982B" w14:textId="77777777" w:rsidR="00A50B08" w:rsidRDefault="0093381D">
            <w:pPr>
              <w:jc w:val="center"/>
            </w:pPr>
            <w:r>
              <w:rPr>
                <w:sz w:val="20"/>
                <w:szCs w:val="20"/>
              </w:rPr>
              <w:t>Medium</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BF4CFC" w14:textId="77777777" w:rsidR="00A50B08" w:rsidRDefault="0093381D">
            <w:pPr>
              <w:jc w:val="center"/>
            </w:pPr>
            <w:r>
              <w:rPr>
                <w:sz w:val="20"/>
                <w:szCs w:val="20"/>
              </w:rPr>
              <w:t>High</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F9558F" w14:textId="77777777" w:rsidR="00A50B08" w:rsidRDefault="0093381D">
            <w:r>
              <w:rPr>
                <w:sz w:val="20"/>
                <w:szCs w:val="20"/>
              </w:rPr>
              <w:t>Write in parallel with later analytical phases (Phase 11 starts in W11); first complete draft by 4 August, leaving 17 days for revision.</w:t>
            </w:r>
          </w:p>
        </w:tc>
      </w:tr>
    </w:tbl>
    <w:p w14:paraId="6D007B34" w14:textId="6103E4B8" w:rsidR="00A50B08" w:rsidRDefault="0093381D" w:rsidP="004E2E94">
      <w:pPr>
        <w:spacing w:before="240" w:after="240"/>
        <w:jc w:val="center"/>
        <w:rPr>
          <w:i/>
          <w:iCs/>
          <w:color w:val="555555"/>
          <w:sz w:val="20"/>
          <w:szCs w:val="20"/>
        </w:rPr>
      </w:pPr>
      <w:r>
        <w:rPr>
          <w:i/>
          <w:iCs/>
          <w:color w:val="555555"/>
          <w:sz w:val="20"/>
          <w:szCs w:val="20"/>
        </w:rPr>
        <w:t xml:space="preserve">Table 1. Risk </w:t>
      </w:r>
      <w:proofErr w:type="gramStart"/>
      <w:r>
        <w:rPr>
          <w:i/>
          <w:iCs/>
          <w:color w:val="555555"/>
          <w:sz w:val="20"/>
          <w:szCs w:val="20"/>
        </w:rPr>
        <w:t>register</w:t>
      </w:r>
      <w:proofErr w:type="gramEnd"/>
      <w:r>
        <w:rPr>
          <w:i/>
          <w:iCs/>
          <w:color w:val="555555"/>
          <w:sz w:val="20"/>
          <w:szCs w:val="20"/>
        </w:rPr>
        <w:t xml:space="preserve"> with likelihood, impact, and mitigation.</w:t>
      </w:r>
    </w:p>
    <w:p w14:paraId="102ABF73" w14:textId="77777777" w:rsidR="00C9190E" w:rsidRPr="00C9190E" w:rsidRDefault="00C9190E" w:rsidP="00C9190E">
      <w:pPr>
        <w:spacing w:after="60"/>
        <w:ind w:firstLine="720"/>
        <w:jc w:val="both"/>
        <w:rPr>
          <w:color w:val="000000" w:themeColor="text1"/>
          <w:sz w:val="22"/>
          <w:szCs w:val="22"/>
        </w:rPr>
      </w:pPr>
      <w:r w:rsidRPr="00C9190E">
        <w:rPr>
          <w:color w:val="000000" w:themeColor="text1"/>
          <w:sz w:val="22"/>
          <w:szCs w:val="22"/>
        </w:rPr>
        <w:t>The timetable includes built-in slack distributed across the schedule, and the risk register will be revisited at each supervisor meeting to ensure emerging risks are captured early and mitigations remain current.</w:t>
      </w:r>
    </w:p>
    <w:p w14:paraId="224E5395" w14:textId="77777777" w:rsidR="004E2E94" w:rsidRDefault="004E2E94" w:rsidP="00C9190E">
      <w:pPr>
        <w:spacing w:before="240" w:after="240"/>
      </w:pPr>
    </w:p>
    <w:p w14:paraId="46837E83" w14:textId="77777777" w:rsidR="00A50B08" w:rsidRDefault="0093381D">
      <w:r>
        <w:br w:type="page"/>
      </w:r>
    </w:p>
    <w:p w14:paraId="3D9954E9" w14:textId="77777777" w:rsidR="00A50B08" w:rsidRDefault="0093381D">
      <w:pPr>
        <w:pStyle w:val="Heading1"/>
      </w:pPr>
      <w:bookmarkStart w:id="37" w:name="_Toc232184219"/>
      <w:r>
        <w:lastRenderedPageBreak/>
        <w:t>References</w:t>
      </w:r>
      <w:bookmarkEnd w:id="37"/>
    </w:p>
    <w:p w14:paraId="74CE4A5D" w14:textId="10ED107A" w:rsidR="00014220" w:rsidRPr="00014220" w:rsidRDefault="00014220" w:rsidP="000B3E49">
      <w:pPr>
        <w:pStyle w:val="ListParagraph"/>
        <w:numPr>
          <w:ilvl w:val="0"/>
          <w:numId w:val="6"/>
        </w:numPr>
        <w:spacing w:before="120" w:after="120" w:line="276" w:lineRule="auto"/>
        <w:jc w:val="both"/>
        <w:rPr>
          <w:sz w:val="22"/>
          <w:szCs w:val="22"/>
        </w:rPr>
      </w:pPr>
      <w:proofErr w:type="spellStart"/>
      <w:r w:rsidRPr="00014220">
        <w:rPr>
          <w:sz w:val="22"/>
          <w:szCs w:val="22"/>
        </w:rPr>
        <w:t>Adadi</w:t>
      </w:r>
      <w:proofErr w:type="spellEnd"/>
      <w:r w:rsidRPr="00014220">
        <w:rPr>
          <w:sz w:val="22"/>
          <w:szCs w:val="22"/>
        </w:rPr>
        <w:t xml:space="preserve">, A. and Berrada, M. (2018) 'Peeking inside the black-box: a survey on explainable artificial intelligence (XAI)', </w:t>
      </w:r>
      <w:r w:rsidRPr="00014220">
        <w:rPr>
          <w:i/>
          <w:iCs/>
          <w:sz w:val="22"/>
          <w:szCs w:val="22"/>
        </w:rPr>
        <w:t>IEEE Access</w:t>
      </w:r>
      <w:r w:rsidRPr="00014220">
        <w:rPr>
          <w:sz w:val="22"/>
          <w:szCs w:val="22"/>
        </w:rPr>
        <w:t xml:space="preserve">, 6, pp. 52138–52160. Available at: </w:t>
      </w:r>
      <w:hyperlink r:id="rId8" w:history="1">
        <w:r w:rsidRPr="00014220">
          <w:rPr>
            <w:rStyle w:val="Hyperlink"/>
            <w:sz w:val="22"/>
            <w:szCs w:val="22"/>
          </w:rPr>
          <w:t>https://doi.org/10.1109/ACCESS.2018.2870052</w:t>
        </w:r>
      </w:hyperlink>
      <w:r w:rsidRPr="00014220">
        <w:rPr>
          <w:sz w:val="22"/>
          <w:szCs w:val="22"/>
        </w:rPr>
        <w:t xml:space="preserve"> (Accessed: </w:t>
      </w:r>
      <w:r w:rsidR="009B73E3">
        <w:rPr>
          <w:sz w:val="22"/>
          <w:szCs w:val="22"/>
        </w:rPr>
        <w:t>12 June</w:t>
      </w:r>
      <w:r w:rsidRPr="00014220">
        <w:rPr>
          <w:sz w:val="22"/>
          <w:szCs w:val="22"/>
        </w:rPr>
        <w:t xml:space="preserve"> 2026).</w:t>
      </w:r>
    </w:p>
    <w:p w14:paraId="2907C088" w14:textId="596BC30E"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Al Mamun, A., </w:t>
      </w:r>
      <w:proofErr w:type="spellStart"/>
      <w:r w:rsidRPr="00014220">
        <w:rPr>
          <w:sz w:val="22"/>
          <w:szCs w:val="22"/>
        </w:rPr>
        <w:t>Tanoor</w:t>
      </w:r>
      <w:proofErr w:type="spellEnd"/>
      <w:r w:rsidRPr="00014220">
        <w:rPr>
          <w:sz w:val="22"/>
          <w:szCs w:val="22"/>
        </w:rPr>
        <w:t xml:space="preserve">, M., Masum, A., Bhuiyan, T. and Hassan, M. (2026) 'Explainable AI for customer churn prediction in the energy sector using ensemble machine learning models', </w:t>
      </w:r>
      <w:r w:rsidRPr="00014220">
        <w:rPr>
          <w:i/>
          <w:iCs/>
          <w:sz w:val="22"/>
          <w:szCs w:val="22"/>
        </w:rPr>
        <w:t>EAI Endorsed Transactions on AI and Robotics</w:t>
      </w:r>
      <w:r w:rsidRPr="00014220">
        <w:rPr>
          <w:sz w:val="22"/>
          <w:szCs w:val="22"/>
        </w:rPr>
        <w:t xml:space="preserve">, 5. Available at: </w:t>
      </w:r>
      <w:hyperlink r:id="rId9" w:history="1">
        <w:r w:rsidRPr="00014220">
          <w:rPr>
            <w:rStyle w:val="Hyperlink"/>
            <w:sz w:val="22"/>
            <w:szCs w:val="22"/>
          </w:rPr>
          <w:t>https://publications.eai.eu/index.php/airo/article/view/9813</w:t>
        </w:r>
      </w:hyperlink>
      <w:r w:rsidRPr="00014220">
        <w:rPr>
          <w:sz w:val="22"/>
          <w:szCs w:val="22"/>
        </w:rPr>
        <w:t xml:space="preserve"> (Accessed: </w:t>
      </w:r>
      <w:r w:rsidR="00870134">
        <w:rPr>
          <w:sz w:val="22"/>
          <w:szCs w:val="22"/>
        </w:rPr>
        <w:t>12 June</w:t>
      </w:r>
      <w:r w:rsidRPr="00014220">
        <w:rPr>
          <w:sz w:val="22"/>
          <w:szCs w:val="22"/>
        </w:rPr>
        <w:t xml:space="preserve"> 2026).</w:t>
      </w:r>
    </w:p>
    <w:p w14:paraId="2971E6DE" w14:textId="6A7C0AFD"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Bhatt, U., Xiang, A., Sharma, S., Weller, A., Taly, A., Jia, Y., Ghosh, J., Puri, R., Moura, J. and Eckersley, P. (2020) 'Explainable machine learning in deployment', in </w:t>
      </w:r>
      <w:r w:rsidRPr="00014220">
        <w:rPr>
          <w:i/>
          <w:iCs/>
          <w:sz w:val="22"/>
          <w:szCs w:val="22"/>
        </w:rPr>
        <w:t>Proceedings of the 2020 Conference on Fairness, Accountability, and Transparency</w:t>
      </w:r>
      <w:r w:rsidRPr="00014220">
        <w:rPr>
          <w:sz w:val="22"/>
          <w:szCs w:val="22"/>
        </w:rPr>
        <w:t xml:space="preserve">. Available at: </w:t>
      </w:r>
      <w:hyperlink r:id="rId10" w:history="1">
        <w:r w:rsidRPr="00014220">
          <w:rPr>
            <w:rStyle w:val="Hyperlink"/>
            <w:sz w:val="22"/>
            <w:szCs w:val="22"/>
          </w:rPr>
          <w:t>https://arxiv.org/abs/1909.06342</w:t>
        </w:r>
      </w:hyperlink>
      <w:r w:rsidRPr="00014220">
        <w:rPr>
          <w:sz w:val="22"/>
          <w:szCs w:val="22"/>
        </w:rPr>
        <w:t xml:space="preserve"> (Accessed: </w:t>
      </w:r>
      <w:r w:rsidR="00870134">
        <w:rPr>
          <w:sz w:val="22"/>
          <w:szCs w:val="22"/>
        </w:rPr>
        <w:t>12 June</w:t>
      </w:r>
      <w:r w:rsidRPr="00014220">
        <w:rPr>
          <w:sz w:val="22"/>
          <w:szCs w:val="22"/>
        </w:rPr>
        <w:t xml:space="preserve"> 2026).</w:t>
      </w:r>
    </w:p>
    <w:p w14:paraId="11B294BD" w14:textId="5270C87C"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Bolla, S. and </w:t>
      </w:r>
      <w:proofErr w:type="spellStart"/>
      <w:r w:rsidRPr="00014220">
        <w:rPr>
          <w:sz w:val="22"/>
          <w:szCs w:val="22"/>
        </w:rPr>
        <w:t>Narsepalle</w:t>
      </w:r>
      <w:proofErr w:type="spellEnd"/>
      <w:r w:rsidRPr="00014220">
        <w:rPr>
          <w:sz w:val="22"/>
          <w:szCs w:val="22"/>
        </w:rPr>
        <w:t xml:space="preserve">, K. (2026) 'Enhancing customer churn prediction in telecommunications with explainable AI: a SHAP-based approach', in </w:t>
      </w:r>
      <w:r w:rsidRPr="00014220">
        <w:rPr>
          <w:i/>
          <w:iCs/>
          <w:sz w:val="22"/>
          <w:szCs w:val="22"/>
        </w:rPr>
        <w:t>Computing and Machine Learning: CML 2025</w:t>
      </w:r>
      <w:r w:rsidRPr="00014220">
        <w:rPr>
          <w:sz w:val="22"/>
          <w:szCs w:val="22"/>
        </w:rPr>
        <w:t xml:space="preserve">. Lecture Notes in Networks and Systems, vol. 1613. Singapore: Springer. Available at: </w:t>
      </w:r>
      <w:hyperlink r:id="rId11" w:history="1">
        <w:r w:rsidRPr="00014220">
          <w:rPr>
            <w:rStyle w:val="Hyperlink"/>
            <w:sz w:val="22"/>
            <w:szCs w:val="22"/>
          </w:rPr>
          <w:t>https://doi.org/10.1007/978-981-95-2875-2_1</w:t>
        </w:r>
      </w:hyperlink>
      <w:r w:rsidRPr="00014220">
        <w:rPr>
          <w:sz w:val="22"/>
          <w:szCs w:val="22"/>
        </w:rPr>
        <w:t xml:space="preserve"> (Accessed: </w:t>
      </w:r>
      <w:r w:rsidR="009B73E3">
        <w:rPr>
          <w:sz w:val="22"/>
          <w:szCs w:val="22"/>
        </w:rPr>
        <w:t>7 June</w:t>
      </w:r>
      <w:r w:rsidRPr="00014220">
        <w:rPr>
          <w:sz w:val="22"/>
          <w:szCs w:val="22"/>
        </w:rPr>
        <w:t xml:space="preserve"> 2026).</w:t>
      </w:r>
    </w:p>
    <w:p w14:paraId="0B00D215" w14:textId="2F658DF8" w:rsidR="00014220" w:rsidRPr="00014220" w:rsidRDefault="00014220" w:rsidP="000B3E49">
      <w:pPr>
        <w:pStyle w:val="ListParagraph"/>
        <w:numPr>
          <w:ilvl w:val="0"/>
          <w:numId w:val="6"/>
        </w:numPr>
        <w:spacing w:before="120" w:after="120" w:line="276" w:lineRule="auto"/>
        <w:jc w:val="both"/>
        <w:rPr>
          <w:sz w:val="22"/>
          <w:szCs w:val="22"/>
        </w:rPr>
      </w:pPr>
      <w:proofErr w:type="spellStart"/>
      <w:r w:rsidRPr="00014220">
        <w:rPr>
          <w:sz w:val="22"/>
          <w:szCs w:val="22"/>
        </w:rPr>
        <w:t>Breiman</w:t>
      </w:r>
      <w:proofErr w:type="spellEnd"/>
      <w:r w:rsidRPr="00014220">
        <w:rPr>
          <w:sz w:val="22"/>
          <w:szCs w:val="22"/>
        </w:rPr>
        <w:t xml:space="preserve">, L. (2001) 'Random forests', </w:t>
      </w:r>
      <w:r w:rsidRPr="00014220">
        <w:rPr>
          <w:i/>
          <w:iCs/>
          <w:sz w:val="22"/>
          <w:szCs w:val="22"/>
        </w:rPr>
        <w:t>Machine Learning</w:t>
      </w:r>
      <w:r w:rsidRPr="00014220">
        <w:rPr>
          <w:sz w:val="22"/>
          <w:szCs w:val="22"/>
        </w:rPr>
        <w:t xml:space="preserve">, 45(1), pp. 5–32. Available at: </w:t>
      </w:r>
      <w:hyperlink r:id="rId12" w:history="1">
        <w:r w:rsidRPr="00014220">
          <w:rPr>
            <w:rStyle w:val="Hyperlink"/>
            <w:sz w:val="22"/>
            <w:szCs w:val="22"/>
          </w:rPr>
          <w:t>https://doi.org/10.1023/A:1010933404324</w:t>
        </w:r>
      </w:hyperlink>
      <w:r w:rsidRPr="00014220">
        <w:rPr>
          <w:sz w:val="22"/>
          <w:szCs w:val="22"/>
        </w:rPr>
        <w:t xml:space="preserve"> (Accessed: </w:t>
      </w:r>
      <w:r w:rsidR="00870134">
        <w:rPr>
          <w:sz w:val="22"/>
          <w:szCs w:val="22"/>
        </w:rPr>
        <w:t>12 June</w:t>
      </w:r>
      <w:r w:rsidRPr="00014220">
        <w:rPr>
          <w:sz w:val="22"/>
          <w:szCs w:val="22"/>
        </w:rPr>
        <w:t xml:space="preserve"> 2026).</w:t>
      </w:r>
    </w:p>
    <w:p w14:paraId="398824AE" w14:textId="4860D400"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Chen, T. and </w:t>
      </w:r>
      <w:proofErr w:type="spellStart"/>
      <w:r w:rsidRPr="00014220">
        <w:rPr>
          <w:sz w:val="22"/>
          <w:szCs w:val="22"/>
        </w:rPr>
        <w:t>Guestrin</w:t>
      </w:r>
      <w:proofErr w:type="spellEnd"/>
      <w:r w:rsidRPr="00014220">
        <w:rPr>
          <w:sz w:val="22"/>
          <w:szCs w:val="22"/>
        </w:rPr>
        <w:t>, C. (2016) '</w:t>
      </w:r>
      <w:proofErr w:type="spellStart"/>
      <w:r w:rsidRPr="00014220">
        <w:rPr>
          <w:sz w:val="22"/>
          <w:szCs w:val="22"/>
        </w:rPr>
        <w:t>XGBoost</w:t>
      </w:r>
      <w:proofErr w:type="spellEnd"/>
      <w:r w:rsidRPr="00014220">
        <w:rPr>
          <w:sz w:val="22"/>
          <w:szCs w:val="22"/>
        </w:rPr>
        <w:t xml:space="preserve">: a scalable tree boosting system', in </w:t>
      </w:r>
      <w:r w:rsidRPr="00014220">
        <w:rPr>
          <w:i/>
          <w:iCs/>
          <w:sz w:val="22"/>
          <w:szCs w:val="22"/>
        </w:rPr>
        <w:t>Proceedings of the 22nd ACM SIGKDD International Conference on Knowledge Discovery and Data Mining</w:t>
      </w:r>
      <w:r w:rsidRPr="00014220">
        <w:rPr>
          <w:sz w:val="22"/>
          <w:szCs w:val="22"/>
        </w:rPr>
        <w:t xml:space="preserve">. Available at: </w:t>
      </w:r>
      <w:hyperlink r:id="rId13" w:history="1">
        <w:r w:rsidRPr="00014220">
          <w:rPr>
            <w:rStyle w:val="Hyperlink"/>
            <w:sz w:val="22"/>
            <w:szCs w:val="22"/>
          </w:rPr>
          <w:t>https://arxiv.org/abs/1603.02754</w:t>
        </w:r>
      </w:hyperlink>
      <w:r w:rsidRPr="00014220">
        <w:rPr>
          <w:sz w:val="22"/>
          <w:szCs w:val="22"/>
        </w:rPr>
        <w:t xml:space="preserve"> (Accessed: </w:t>
      </w:r>
      <w:r w:rsidR="00870134">
        <w:rPr>
          <w:sz w:val="22"/>
          <w:szCs w:val="22"/>
        </w:rPr>
        <w:t>12 June</w:t>
      </w:r>
      <w:r w:rsidRPr="00014220">
        <w:rPr>
          <w:sz w:val="22"/>
          <w:szCs w:val="22"/>
        </w:rPr>
        <w:t xml:space="preserve"> 2026).</w:t>
      </w:r>
    </w:p>
    <w:p w14:paraId="36F3F1C4" w14:textId="54674977"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Doshi-Velez, F. and Kim, B. (2017) 'Towards a rigorous science of interpretable machine learning', </w:t>
      </w:r>
      <w:proofErr w:type="spellStart"/>
      <w:r w:rsidRPr="00014220">
        <w:rPr>
          <w:i/>
          <w:iCs/>
          <w:sz w:val="22"/>
          <w:szCs w:val="22"/>
        </w:rPr>
        <w:t>arXiv</w:t>
      </w:r>
      <w:proofErr w:type="spellEnd"/>
      <w:r w:rsidRPr="00014220">
        <w:rPr>
          <w:i/>
          <w:iCs/>
          <w:sz w:val="22"/>
          <w:szCs w:val="22"/>
        </w:rPr>
        <w:t xml:space="preserve"> preprint</w:t>
      </w:r>
      <w:r w:rsidRPr="00014220">
        <w:rPr>
          <w:sz w:val="22"/>
          <w:szCs w:val="22"/>
        </w:rPr>
        <w:t xml:space="preserve">. Available at: </w:t>
      </w:r>
      <w:hyperlink r:id="rId14" w:history="1">
        <w:r w:rsidRPr="00014220">
          <w:rPr>
            <w:rStyle w:val="Hyperlink"/>
            <w:sz w:val="22"/>
            <w:szCs w:val="22"/>
          </w:rPr>
          <w:t>https://arxiv.org/abs/1702.08608</w:t>
        </w:r>
      </w:hyperlink>
      <w:r w:rsidRPr="00014220">
        <w:rPr>
          <w:sz w:val="22"/>
          <w:szCs w:val="22"/>
        </w:rPr>
        <w:t xml:space="preserve"> (Accessed: </w:t>
      </w:r>
      <w:r w:rsidR="00870134">
        <w:rPr>
          <w:sz w:val="22"/>
          <w:szCs w:val="22"/>
        </w:rPr>
        <w:t>12 June</w:t>
      </w:r>
      <w:r w:rsidRPr="00014220">
        <w:rPr>
          <w:sz w:val="22"/>
          <w:szCs w:val="22"/>
        </w:rPr>
        <w:t xml:space="preserve"> 2026).</w:t>
      </w:r>
    </w:p>
    <w:p w14:paraId="478EBBC7" w14:textId="6C99B90C"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El Attar, A. and El-Hajj, M. (2026) 'Explainable AI-driven customer churn prediction: a multi-model ensemble approach with SHAP-based feature analysis', </w:t>
      </w:r>
      <w:r w:rsidRPr="00014220">
        <w:rPr>
          <w:i/>
          <w:iCs/>
          <w:sz w:val="22"/>
          <w:szCs w:val="22"/>
        </w:rPr>
        <w:t>Frontiers in Artificial Intelligence</w:t>
      </w:r>
      <w:r w:rsidRPr="00014220">
        <w:rPr>
          <w:sz w:val="22"/>
          <w:szCs w:val="22"/>
        </w:rPr>
        <w:t xml:space="preserve">, 8. Available at: </w:t>
      </w:r>
      <w:hyperlink r:id="rId15" w:history="1">
        <w:r w:rsidRPr="00014220">
          <w:rPr>
            <w:rStyle w:val="Hyperlink"/>
            <w:sz w:val="22"/>
            <w:szCs w:val="22"/>
          </w:rPr>
          <w:t>https://doi.org/10.3389/frai.2026.1748799</w:t>
        </w:r>
      </w:hyperlink>
      <w:r w:rsidRPr="00014220">
        <w:rPr>
          <w:sz w:val="22"/>
          <w:szCs w:val="22"/>
        </w:rPr>
        <w:t xml:space="preserve"> (Accessed: </w:t>
      </w:r>
      <w:r w:rsidR="00414168">
        <w:rPr>
          <w:sz w:val="22"/>
          <w:szCs w:val="22"/>
        </w:rPr>
        <w:t>1</w:t>
      </w:r>
      <w:r w:rsidR="009B73E3">
        <w:rPr>
          <w:sz w:val="22"/>
          <w:szCs w:val="22"/>
        </w:rPr>
        <w:t>2 June</w:t>
      </w:r>
      <w:r w:rsidRPr="00014220">
        <w:rPr>
          <w:sz w:val="22"/>
          <w:szCs w:val="22"/>
        </w:rPr>
        <w:t xml:space="preserve"> 2026).</w:t>
      </w:r>
    </w:p>
    <w:p w14:paraId="49C69763" w14:textId="01A21767"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Explainable customer churn prediction in telecom using ensemble learning and SHAP analysis (2024) </w:t>
      </w:r>
      <w:r w:rsidRPr="00014220">
        <w:rPr>
          <w:i/>
          <w:iCs/>
          <w:sz w:val="22"/>
          <w:szCs w:val="22"/>
        </w:rPr>
        <w:t>Mathematical Modelling of Engineering Problems</w:t>
      </w:r>
      <w:r w:rsidRPr="00014220">
        <w:rPr>
          <w:sz w:val="22"/>
          <w:szCs w:val="22"/>
        </w:rPr>
        <w:t xml:space="preserve">, 12(12). Available at: </w:t>
      </w:r>
      <w:hyperlink r:id="rId16" w:history="1">
        <w:r w:rsidRPr="00014220">
          <w:rPr>
            <w:rStyle w:val="Hyperlink"/>
            <w:sz w:val="22"/>
            <w:szCs w:val="22"/>
          </w:rPr>
          <w:t>https://www.iieta.org/journals/mmep/paper/10.18280/mmep.121226</w:t>
        </w:r>
      </w:hyperlink>
      <w:r w:rsidRPr="00014220">
        <w:rPr>
          <w:sz w:val="22"/>
          <w:szCs w:val="22"/>
        </w:rPr>
        <w:t xml:space="preserve"> (Accessed: </w:t>
      </w:r>
      <w:r w:rsidR="00870134">
        <w:rPr>
          <w:sz w:val="22"/>
          <w:szCs w:val="22"/>
        </w:rPr>
        <w:t>12 June</w:t>
      </w:r>
      <w:r w:rsidRPr="00014220">
        <w:rPr>
          <w:sz w:val="22"/>
          <w:szCs w:val="22"/>
        </w:rPr>
        <w:t xml:space="preserve"> 2026).</w:t>
      </w:r>
    </w:p>
    <w:p w14:paraId="62AA7F7D" w14:textId="4D06C9E3"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Hooker, S., Erion, G., Kim, B. and Lee, S. (2019) 'A benchmark for interpretability methods in deep neural networks', </w:t>
      </w:r>
      <w:r w:rsidRPr="00014220">
        <w:rPr>
          <w:i/>
          <w:iCs/>
          <w:sz w:val="22"/>
          <w:szCs w:val="22"/>
        </w:rPr>
        <w:t>Advances in Neural Information Processing Systems</w:t>
      </w:r>
      <w:r w:rsidRPr="00014220">
        <w:rPr>
          <w:sz w:val="22"/>
          <w:szCs w:val="22"/>
        </w:rPr>
        <w:t xml:space="preserve">, 32. Available at: </w:t>
      </w:r>
      <w:hyperlink r:id="rId17" w:history="1">
        <w:r w:rsidRPr="00014220">
          <w:rPr>
            <w:rStyle w:val="Hyperlink"/>
            <w:sz w:val="22"/>
            <w:szCs w:val="22"/>
          </w:rPr>
          <w:t>https://arxiv.org/abs/1806.10758</w:t>
        </w:r>
      </w:hyperlink>
      <w:r w:rsidRPr="00014220">
        <w:rPr>
          <w:sz w:val="22"/>
          <w:szCs w:val="22"/>
        </w:rPr>
        <w:t xml:space="preserve"> (Accessed: </w:t>
      </w:r>
      <w:r w:rsidR="00870134">
        <w:rPr>
          <w:sz w:val="22"/>
          <w:szCs w:val="22"/>
        </w:rPr>
        <w:t>12 June</w:t>
      </w:r>
      <w:r w:rsidRPr="00014220">
        <w:rPr>
          <w:sz w:val="22"/>
          <w:szCs w:val="22"/>
        </w:rPr>
        <w:t xml:space="preserve"> 2026).</w:t>
      </w:r>
    </w:p>
    <w:p w14:paraId="41E9C609" w14:textId="5F0113B3"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Imani, M., </w:t>
      </w:r>
      <w:proofErr w:type="spellStart"/>
      <w:r w:rsidRPr="00014220">
        <w:rPr>
          <w:sz w:val="22"/>
          <w:szCs w:val="22"/>
        </w:rPr>
        <w:t>Beikmohammadi</w:t>
      </w:r>
      <w:proofErr w:type="spellEnd"/>
      <w:r w:rsidRPr="00014220">
        <w:rPr>
          <w:sz w:val="22"/>
          <w:szCs w:val="22"/>
        </w:rPr>
        <w:t xml:space="preserve">, A. and </w:t>
      </w:r>
      <w:proofErr w:type="spellStart"/>
      <w:r w:rsidRPr="00014220">
        <w:rPr>
          <w:sz w:val="22"/>
          <w:szCs w:val="22"/>
        </w:rPr>
        <w:t>Arabnia</w:t>
      </w:r>
      <w:proofErr w:type="spellEnd"/>
      <w:r w:rsidRPr="00014220">
        <w:rPr>
          <w:sz w:val="22"/>
          <w:szCs w:val="22"/>
        </w:rPr>
        <w:t xml:space="preserve">, H. (2025) 'Comprehensive analysis of Random Forest and </w:t>
      </w:r>
      <w:proofErr w:type="spellStart"/>
      <w:r w:rsidRPr="00014220">
        <w:rPr>
          <w:sz w:val="22"/>
          <w:szCs w:val="22"/>
        </w:rPr>
        <w:t>XGBoost</w:t>
      </w:r>
      <w:proofErr w:type="spellEnd"/>
      <w:r w:rsidRPr="00014220">
        <w:rPr>
          <w:sz w:val="22"/>
          <w:szCs w:val="22"/>
        </w:rPr>
        <w:t xml:space="preserve"> performance with SMOTE, ADASYN, and GNUS under varying imbalance levels', </w:t>
      </w:r>
      <w:r w:rsidRPr="00014220">
        <w:rPr>
          <w:i/>
          <w:iCs/>
          <w:sz w:val="22"/>
          <w:szCs w:val="22"/>
        </w:rPr>
        <w:t>Technologies</w:t>
      </w:r>
      <w:r w:rsidRPr="00014220">
        <w:rPr>
          <w:sz w:val="22"/>
          <w:szCs w:val="22"/>
        </w:rPr>
        <w:t xml:space="preserve">, 13(3), 88. Available at: </w:t>
      </w:r>
      <w:hyperlink r:id="rId18" w:history="1">
        <w:r w:rsidRPr="00014220">
          <w:rPr>
            <w:rStyle w:val="Hyperlink"/>
            <w:sz w:val="22"/>
            <w:szCs w:val="22"/>
          </w:rPr>
          <w:t>https://www.mdpi.com/2227-7080/13/3/88</w:t>
        </w:r>
      </w:hyperlink>
      <w:r w:rsidRPr="00014220">
        <w:rPr>
          <w:sz w:val="22"/>
          <w:szCs w:val="22"/>
        </w:rPr>
        <w:t xml:space="preserve"> (Accessed: </w:t>
      </w:r>
      <w:r w:rsidR="00870134">
        <w:rPr>
          <w:sz w:val="22"/>
          <w:szCs w:val="22"/>
        </w:rPr>
        <w:t>12</w:t>
      </w:r>
      <w:r w:rsidRPr="00014220">
        <w:rPr>
          <w:sz w:val="22"/>
          <w:szCs w:val="22"/>
        </w:rPr>
        <w:t xml:space="preserve"> </w:t>
      </w:r>
      <w:r w:rsidR="00870134">
        <w:rPr>
          <w:sz w:val="22"/>
          <w:szCs w:val="22"/>
        </w:rPr>
        <w:t>June</w:t>
      </w:r>
      <w:r w:rsidRPr="00014220">
        <w:rPr>
          <w:sz w:val="22"/>
          <w:szCs w:val="22"/>
        </w:rPr>
        <w:t xml:space="preserve"> 2026).</w:t>
      </w:r>
    </w:p>
    <w:p w14:paraId="405F2920" w14:textId="64E5AC55"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Krishna, S., Han, T., Gu, A., </w:t>
      </w:r>
      <w:proofErr w:type="spellStart"/>
      <w:r w:rsidRPr="00014220">
        <w:rPr>
          <w:sz w:val="22"/>
          <w:szCs w:val="22"/>
        </w:rPr>
        <w:t>Pombra</w:t>
      </w:r>
      <w:proofErr w:type="spellEnd"/>
      <w:r w:rsidRPr="00014220">
        <w:rPr>
          <w:sz w:val="22"/>
          <w:szCs w:val="22"/>
        </w:rPr>
        <w:t xml:space="preserve">, J., Jabbari, S., Wu, S. and </w:t>
      </w:r>
      <w:proofErr w:type="spellStart"/>
      <w:r w:rsidRPr="00014220">
        <w:rPr>
          <w:sz w:val="22"/>
          <w:szCs w:val="22"/>
        </w:rPr>
        <w:t>Lakkaraju</w:t>
      </w:r>
      <w:proofErr w:type="spellEnd"/>
      <w:r w:rsidRPr="00014220">
        <w:rPr>
          <w:sz w:val="22"/>
          <w:szCs w:val="22"/>
        </w:rPr>
        <w:t xml:space="preserve">, H. (2022) 'The disagreement problem in explainable machine learning: a practitioner's perspective', </w:t>
      </w:r>
      <w:r w:rsidRPr="00014220">
        <w:rPr>
          <w:i/>
          <w:iCs/>
          <w:sz w:val="22"/>
          <w:szCs w:val="22"/>
        </w:rPr>
        <w:lastRenderedPageBreak/>
        <w:t>Transactions on Machine Learning Research</w:t>
      </w:r>
      <w:r w:rsidRPr="00014220">
        <w:rPr>
          <w:sz w:val="22"/>
          <w:szCs w:val="22"/>
        </w:rPr>
        <w:t xml:space="preserve">. Available at: </w:t>
      </w:r>
      <w:hyperlink r:id="rId19" w:history="1">
        <w:r w:rsidRPr="00014220">
          <w:rPr>
            <w:rStyle w:val="Hyperlink"/>
            <w:sz w:val="22"/>
            <w:szCs w:val="22"/>
          </w:rPr>
          <w:t>https://arxiv.org/abs/2202.01602</w:t>
        </w:r>
      </w:hyperlink>
      <w:r w:rsidRPr="00014220">
        <w:rPr>
          <w:sz w:val="22"/>
          <w:szCs w:val="22"/>
        </w:rPr>
        <w:t xml:space="preserve"> (Accessed: </w:t>
      </w:r>
      <w:r w:rsidR="00870134">
        <w:rPr>
          <w:sz w:val="22"/>
          <w:szCs w:val="22"/>
        </w:rPr>
        <w:t>12 June</w:t>
      </w:r>
      <w:r w:rsidRPr="00014220">
        <w:rPr>
          <w:sz w:val="22"/>
          <w:szCs w:val="22"/>
        </w:rPr>
        <w:t xml:space="preserve"> 2026).</w:t>
      </w:r>
    </w:p>
    <w:p w14:paraId="1DB99302" w14:textId="5EAE4FFE"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Lundberg, S. and Lee, S. (2017) 'A unified approach to interpreting model predictions', </w:t>
      </w:r>
      <w:r w:rsidRPr="00014220">
        <w:rPr>
          <w:i/>
          <w:iCs/>
          <w:sz w:val="22"/>
          <w:szCs w:val="22"/>
        </w:rPr>
        <w:t>Advances in Neural Information Processing Systems</w:t>
      </w:r>
      <w:r w:rsidRPr="00014220">
        <w:rPr>
          <w:sz w:val="22"/>
          <w:szCs w:val="22"/>
        </w:rPr>
        <w:t xml:space="preserve">, 30. Available at: </w:t>
      </w:r>
      <w:hyperlink r:id="rId20" w:history="1">
        <w:r w:rsidRPr="00014220">
          <w:rPr>
            <w:rStyle w:val="Hyperlink"/>
            <w:sz w:val="22"/>
            <w:szCs w:val="22"/>
          </w:rPr>
          <w:t>https://arxiv.org/abs/1705.07874</w:t>
        </w:r>
      </w:hyperlink>
      <w:r w:rsidRPr="00014220">
        <w:rPr>
          <w:sz w:val="22"/>
          <w:szCs w:val="22"/>
        </w:rPr>
        <w:t xml:space="preserve"> (Accessed: </w:t>
      </w:r>
      <w:r w:rsidR="00870134">
        <w:rPr>
          <w:sz w:val="22"/>
          <w:szCs w:val="22"/>
        </w:rPr>
        <w:t>12 June</w:t>
      </w:r>
      <w:r w:rsidRPr="00014220">
        <w:rPr>
          <w:sz w:val="22"/>
          <w:szCs w:val="22"/>
        </w:rPr>
        <w:t xml:space="preserve"> 2026).</w:t>
      </w:r>
    </w:p>
    <w:p w14:paraId="73497A28" w14:textId="0724490D"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Lundberg, S., Erion, G. and Lee, S. (2018) 'Consistent individualized feature attribution for </w:t>
      </w:r>
      <w:proofErr w:type="gramStart"/>
      <w:r w:rsidRPr="00014220">
        <w:rPr>
          <w:sz w:val="22"/>
          <w:szCs w:val="22"/>
        </w:rPr>
        <w:t>tree</w:t>
      </w:r>
      <w:proofErr w:type="gramEnd"/>
      <w:r w:rsidRPr="00014220">
        <w:rPr>
          <w:sz w:val="22"/>
          <w:szCs w:val="22"/>
        </w:rPr>
        <w:t xml:space="preserve"> ensembles', </w:t>
      </w:r>
      <w:proofErr w:type="spellStart"/>
      <w:r w:rsidRPr="00014220">
        <w:rPr>
          <w:i/>
          <w:iCs/>
          <w:sz w:val="22"/>
          <w:szCs w:val="22"/>
        </w:rPr>
        <w:t>arXiv</w:t>
      </w:r>
      <w:proofErr w:type="spellEnd"/>
      <w:r w:rsidRPr="00014220">
        <w:rPr>
          <w:i/>
          <w:iCs/>
          <w:sz w:val="22"/>
          <w:szCs w:val="22"/>
        </w:rPr>
        <w:t xml:space="preserve"> preprint</w:t>
      </w:r>
      <w:r w:rsidRPr="00014220">
        <w:rPr>
          <w:sz w:val="22"/>
          <w:szCs w:val="22"/>
        </w:rPr>
        <w:t xml:space="preserve">. Available at: </w:t>
      </w:r>
      <w:hyperlink r:id="rId21" w:history="1">
        <w:r w:rsidRPr="00014220">
          <w:rPr>
            <w:rStyle w:val="Hyperlink"/>
            <w:sz w:val="22"/>
            <w:szCs w:val="22"/>
          </w:rPr>
          <w:t>https://arxiv.org/abs/1802.03888</w:t>
        </w:r>
      </w:hyperlink>
      <w:r w:rsidRPr="00014220">
        <w:rPr>
          <w:sz w:val="22"/>
          <w:szCs w:val="22"/>
        </w:rPr>
        <w:t xml:space="preserve"> (Accessed: </w:t>
      </w:r>
      <w:r w:rsidR="00870134">
        <w:rPr>
          <w:sz w:val="22"/>
          <w:szCs w:val="22"/>
        </w:rPr>
        <w:t>12 June</w:t>
      </w:r>
      <w:r w:rsidRPr="00014220">
        <w:rPr>
          <w:sz w:val="22"/>
          <w:szCs w:val="22"/>
        </w:rPr>
        <w:t xml:space="preserve"> 2026).</w:t>
      </w:r>
    </w:p>
    <w:p w14:paraId="64E046D7" w14:textId="783F1744"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Molnar, C. (2025) </w:t>
      </w:r>
      <w:r w:rsidRPr="00014220">
        <w:rPr>
          <w:i/>
          <w:iCs/>
          <w:sz w:val="22"/>
          <w:szCs w:val="22"/>
        </w:rPr>
        <w:t>Interpretable machine learning: a guide for making black box models explainable</w:t>
      </w:r>
      <w:r w:rsidRPr="00014220">
        <w:rPr>
          <w:sz w:val="22"/>
          <w:szCs w:val="22"/>
        </w:rPr>
        <w:t xml:space="preserve">. 3rd </w:t>
      </w:r>
      <w:proofErr w:type="spellStart"/>
      <w:r w:rsidRPr="00014220">
        <w:rPr>
          <w:sz w:val="22"/>
          <w:szCs w:val="22"/>
        </w:rPr>
        <w:t>edn</w:t>
      </w:r>
      <w:proofErr w:type="spellEnd"/>
      <w:r w:rsidRPr="00014220">
        <w:rPr>
          <w:sz w:val="22"/>
          <w:szCs w:val="22"/>
        </w:rPr>
        <w:t xml:space="preserve">. Available at: </w:t>
      </w:r>
      <w:hyperlink r:id="rId22" w:history="1">
        <w:r w:rsidRPr="00014220">
          <w:rPr>
            <w:rStyle w:val="Hyperlink"/>
            <w:sz w:val="22"/>
            <w:szCs w:val="22"/>
          </w:rPr>
          <w:t>https://christophm.github.io/interpretable-ml-book/</w:t>
        </w:r>
      </w:hyperlink>
      <w:r w:rsidRPr="00014220">
        <w:rPr>
          <w:sz w:val="22"/>
          <w:szCs w:val="22"/>
        </w:rPr>
        <w:t xml:space="preserve"> (Accessed: </w:t>
      </w:r>
      <w:r w:rsidR="00870134">
        <w:rPr>
          <w:sz w:val="22"/>
          <w:szCs w:val="22"/>
        </w:rPr>
        <w:t>12 June</w:t>
      </w:r>
      <w:r w:rsidRPr="00014220">
        <w:rPr>
          <w:sz w:val="22"/>
          <w:szCs w:val="22"/>
        </w:rPr>
        <w:t xml:space="preserve"> 2026).</w:t>
      </w:r>
    </w:p>
    <w:p w14:paraId="0B0A9F1E" w14:textId="0890E86E" w:rsidR="00014220" w:rsidRPr="00014220" w:rsidRDefault="00014220" w:rsidP="000B3E49">
      <w:pPr>
        <w:pStyle w:val="ListParagraph"/>
        <w:numPr>
          <w:ilvl w:val="0"/>
          <w:numId w:val="6"/>
        </w:numPr>
        <w:spacing w:before="120" w:after="120" w:line="276" w:lineRule="auto"/>
        <w:jc w:val="both"/>
        <w:rPr>
          <w:sz w:val="22"/>
          <w:szCs w:val="22"/>
        </w:rPr>
      </w:pPr>
      <w:proofErr w:type="spellStart"/>
      <w:r w:rsidRPr="00014220">
        <w:rPr>
          <w:sz w:val="22"/>
          <w:szCs w:val="22"/>
        </w:rPr>
        <w:t>Nurhidayat</w:t>
      </w:r>
      <w:proofErr w:type="spellEnd"/>
      <w:r w:rsidRPr="00014220">
        <w:rPr>
          <w:sz w:val="22"/>
          <w:szCs w:val="22"/>
        </w:rPr>
        <w:t xml:space="preserve">, M. and </w:t>
      </w:r>
      <w:proofErr w:type="spellStart"/>
      <w:r w:rsidRPr="00014220">
        <w:rPr>
          <w:sz w:val="22"/>
          <w:szCs w:val="22"/>
        </w:rPr>
        <w:t>Anggraini</w:t>
      </w:r>
      <w:proofErr w:type="spellEnd"/>
      <w:r w:rsidRPr="00014220">
        <w:rPr>
          <w:sz w:val="22"/>
          <w:szCs w:val="22"/>
        </w:rPr>
        <w:t xml:space="preserve">, D. (2025) 'Evaluation of telecommunication customer churn classification with SMOTE using Random Forest and </w:t>
      </w:r>
      <w:proofErr w:type="spellStart"/>
      <w:r w:rsidRPr="00014220">
        <w:rPr>
          <w:sz w:val="22"/>
          <w:szCs w:val="22"/>
        </w:rPr>
        <w:t>XGBoost</w:t>
      </w:r>
      <w:proofErr w:type="spellEnd"/>
      <w:r w:rsidRPr="00014220">
        <w:rPr>
          <w:sz w:val="22"/>
          <w:szCs w:val="22"/>
        </w:rPr>
        <w:t xml:space="preserve"> algorithms', </w:t>
      </w:r>
      <w:r w:rsidRPr="00014220">
        <w:rPr>
          <w:i/>
          <w:iCs/>
          <w:sz w:val="22"/>
          <w:szCs w:val="22"/>
        </w:rPr>
        <w:t>Journal of Applied Informatics and Computing</w:t>
      </w:r>
      <w:r w:rsidRPr="00014220">
        <w:rPr>
          <w:sz w:val="22"/>
          <w:szCs w:val="22"/>
        </w:rPr>
        <w:t xml:space="preserve">, 9(1), pp. 89–95. Available at: </w:t>
      </w:r>
      <w:hyperlink r:id="rId23" w:history="1">
        <w:r w:rsidRPr="00014220">
          <w:rPr>
            <w:rStyle w:val="Hyperlink"/>
            <w:sz w:val="22"/>
            <w:szCs w:val="22"/>
          </w:rPr>
          <w:t>https://jurnal.polibatam.ac.id/index.php/JAIC/article/view/8740</w:t>
        </w:r>
      </w:hyperlink>
      <w:r w:rsidRPr="00014220">
        <w:rPr>
          <w:sz w:val="22"/>
          <w:szCs w:val="22"/>
        </w:rPr>
        <w:t xml:space="preserve"> (Accessed: </w:t>
      </w:r>
      <w:r w:rsidR="00870134">
        <w:rPr>
          <w:sz w:val="22"/>
          <w:szCs w:val="22"/>
        </w:rPr>
        <w:t>12 June</w:t>
      </w:r>
      <w:r w:rsidRPr="00014220">
        <w:rPr>
          <w:sz w:val="22"/>
          <w:szCs w:val="22"/>
        </w:rPr>
        <w:t xml:space="preserve"> 2026).</w:t>
      </w:r>
    </w:p>
    <w:p w14:paraId="318702CA" w14:textId="1860A29C"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Pandey, P. and Pandey, S. (2026) 'A systematic literature review on explainable AI for churn prediction, customer segmentation and retention', </w:t>
      </w:r>
      <w:r w:rsidRPr="00014220">
        <w:rPr>
          <w:i/>
          <w:iCs/>
          <w:sz w:val="22"/>
          <w:szCs w:val="22"/>
        </w:rPr>
        <w:t>International Journal of Data Science and Analytics</w:t>
      </w:r>
      <w:r w:rsidRPr="00014220">
        <w:rPr>
          <w:sz w:val="22"/>
          <w:szCs w:val="22"/>
        </w:rPr>
        <w:t xml:space="preserve">. Available at: </w:t>
      </w:r>
      <w:hyperlink r:id="rId24" w:history="1">
        <w:r w:rsidRPr="00014220">
          <w:rPr>
            <w:rStyle w:val="Hyperlink"/>
            <w:sz w:val="22"/>
            <w:szCs w:val="22"/>
          </w:rPr>
          <w:t>https://doi.org/10.1007/s41060-025-01018-0</w:t>
        </w:r>
      </w:hyperlink>
      <w:r w:rsidRPr="00014220">
        <w:rPr>
          <w:sz w:val="22"/>
          <w:szCs w:val="22"/>
        </w:rPr>
        <w:t xml:space="preserve"> (Accessed: </w:t>
      </w:r>
      <w:r w:rsidR="00870134">
        <w:rPr>
          <w:sz w:val="22"/>
          <w:szCs w:val="22"/>
        </w:rPr>
        <w:t>12 June</w:t>
      </w:r>
      <w:r w:rsidRPr="00014220">
        <w:rPr>
          <w:sz w:val="22"/>
          <w:szCs w:val="22"/>
        </w:rPr>
        <w:t xml:space="preserve"> 2026).</w:t>
      </w:r>
    </w:p>
    <w:p w14:paraId="2382BE66" w14:textId="2DFD7E31"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Ribeiro, M., Singh, S. and </w:t>
      </w:r>
      <w:proofErr w:type="spellStart"/>
      <w:r w:rsidRPr="00014220">
        <w:rPr>
          <w:sz w:val="22"/>
          <w:szCs w:val="22"/>
        </w:rPr>
        <w:t>Guestrin</w:t>
      </w:r>
      <w:proofErr w:type="spellEnd"/>
      <w:r w:rsidRPr="00014220">
        <w:rPr>
          <w:sz w:val="22"/>
          <w:szCs w:val="22"/>
        </w:rPr>
        <w:t xml:space="preserve">, C. (2016) '"Why should I trust you?": explaining the predictions of any classifier', in </w:t>
      </w:r>
      <w:r w:rsidRPr="00014220">
        <w:rPr>
          <w:i/>
          <w:iCs/>
          <w:sz w:val="22"/>
          <w:szCs w:val="22"/>
        </w:rPr>
        <w:t>Proceedings of the 22nd ACM SIGKDD International Conference on Knowledge Discovery and Data Mining</w:t>
      </w:r>
      <w:r w:rsidRPr="00014220">
        <w:rPr>
          <w:sz w:val="22"/>
          <w:szCs w:val="22"/>
        </w:rPr>
        <w:t xml:space="preserve">. New York: ACM, pp. 1135–1144. Available at: </w:t>
      </w:r>
      <w:hyperlink r:id="rId25" w:history="1">
        <w:r w:rsidRPr="00014220">
          <w:rPr>
            <w:rStyle w:val="Hyperlink"/>
            <w:sz w:val="22"/>
            <w:szCs w:val="22"/>
          </w:rPr>
          <w:t>https://arxiv.org/abs/1602.04938</w:t>
        </w:r>
      </w:hyperlink>
      <w:r w:rsidRPr="00014220">
        <w:rPr>
          <w:sz w:val="22"/>
          <w:szCs w:val="22"/>
        </w:rPr>
        <w:t xml:space="preserve"> (Accessed: </w:t>
      </w:r>
      <w:r w:rsidR="00870134">
        <w:rPr>
          <w:sz w:val="22"/>
          <w:szCs w:val="22"/>
        </w:rPr>
        <w:t>12 June</w:t>
      </w:r>
      <w:r w:rsidRPr="00014220">
        <w:rPr>
          <w:sz w:val="22"/>
          <w:szCs w:val="22"/>
        </w:rPr>
        <w:t xml:space="preserve"> 2026).</w:t>
      </w:r>
    </w:p>
    <w:p w14:paraId="69CF1FAD" w14:textId="30E9AD21"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Rudin, C. (2019) 'Stop explaining black box machine learning models for high stakes decisions and use interpretable models instead', </w:t>
      </w:r>
      <w:r w:rsidRPr="00014220">
        <w:rPr>
          <w:i/>
          <w:iCs/>
          <w:sz w:val="22"/>
          <w:szCs w:val="22"/>
        </w:rPr>
        <w:t>Nature Machine Intelligence</w:t>
      </w:r>
      <w:r w:rsidRPr="00014220">
        <w:rPr>
          <w:sz w:val="22"/>
          <w:szCs w:val="22"/>
        </w:rPr>
        <w:t xml:space="preserve">, 1(5), pp. 206–215. Available at: </w:t>
      </w:r>
      <w:hyperlink r:id="rId26" w:history="1">
        <w:r w:rsidRPr="00014220">
          <w:rPr>
            <w:rStyle w:val="Hyperlink"/>
            <w:sz w:val="22"/>
            <w:szCs w:val="22"/>
          </w:rPr>
          <w:t>https://arxiv.org/abs/1811.10154</w:t>
        </w:r>
      </w:hyperlink>
      <w:r w:rsidRPr="00014220">
        <w:rPr>
          <w:sz w:val="22"/>
          <w:szCs w:val="22"/>
        </w:rPr>
        <w:t xml:space="preserve"> (Accessed: </w:t>
      </w:r>
      <w:r w:rsidR="00870134">
        <w:rPr>
          <w:sz w:val="22"/>
          <w:szCs w:val="22"/>
        </w:rPr>
        <w:t>12 June</w:t>
      </w:r>
      <w:r w:rsidRPr="00014220">
        <w:rPr>
          <w:sz w:val="22"/>
          <w:szCs w:val="22"/>
        </w:rPr>
        <w:t xml:space="preserve"> 2026).</w:t>
      </w:r>
    </w:p>
    <w:p w14:paraId="49FF1AC5" w14:textId="77777777"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Saunders, M., Lewis, P. and Thornhill, A. (2019) </w:t>
      </w:r>
      <w:r w:rsidRPr="00014220">
        <w:rPr>
          <w:i/>
          <w:iCs/>
          <w:sz w:val="22"/>
          <w:szCs w:val="22"/>
        </w:rPr>
        <w:t>Research methods for business students</w:t>
      </w:r>
      <w:r w:rsidRPr="00014220">
        <w:rPr>
          <w:sz w:val="22"/>
          <w:szCs w:val="22"/>
        </w:rPr>
        <w:t xml:space="preserve">. 8th </w:t>
      </w:r>
      <w:proofErr w:type="spellStart"/>
      <w:r w:rsidRPr="00014220">
        <w:rPr>
          <w:sz w:val="22"/>
          <w:szCs w:val="22"/>
        </w:rPr>
        <w:t>edn</w:t>
      </w:r>
      <w:proofErr w:type="spellEnd"/>
      <w:r w:rsidRPr="00014220">
        <w:rPr>
          <w:sz w:val="22"/>
          <w:szCs w:val="22"/>
        </w:rPr>
        <w:t>. Harlow: Pearson Education.</w:t>
      </w:r>
    </w:p>
    <w:p w14:paraId="5AB2D91F" w14:textId="0FBE5B51"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Selbst, A. and Barocas, S. (2018) 'The intuitive appeal of explainable machines', </w:t>
      </w:r>
      <w:r w:rsidRPr="00014220">
        <w:rPr>
          <w:i/>
          <w:iCs/>
          <w:sz w:val="22"/>
          <w:szCs w:val="22"/>
        </w:rPr>
        <w:t>Fordham Law Review</w:t>
      </w:r>
      <w:r w:rsidRPr="00014220">
        <w:rPr>
          <w:sz w:val="22"/>
          <w:szCs w:val="22"/>
        </w:rPr>
        <w:t xml:space="preserve">, 87, pp. 1085–1139. Available at: </w:t>
      </w:r>
      <w:hyperlink r:id="rId27" w:history="1">
        <w:r w:rsidRPr="00014220">
          <w:rPr>
            <w:rStyle w:val="Hyperlink"/>
            <w:sz w:val="22"/>
            <w:szCs w:val="22"/>
          </w:rPr>
          <w:t>https://ir.lawnet.fordham.edu/flr/vol87/iss3/11/</w:t>
        </w:r>
      </w:hyperlink>
      <w:r w:rsidRPr="00014220">
        <w:rPr>
          <w:sz w:val="22"/>
          <w:szCs w:val="22"/>
        </w:rPr>
        <w:t xml:space="preserve"> (Accessed: </w:t>
      </w:r>
      <w:r w:rsidR="00870134">
        <w:rPr>
          <w:sz w:val="22"/>
          <w:szCs w:val="22"/>
        </w:rPr>
        <w:t>12 June</w:t>
      </w:r>
      <w:r w:rsidRPr="00014220">
        <w:rPr>
          <w:sz w:val="22"/>
          <w:szCs w:val="22"/>
        </w:rPr>
        <w:t xml:space="preserve"> 2026).</w:t>
      </w:r>
    </w:p>
    <w:p w14:paraId="1A406723" w14:textId="6FCB477F"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Slack, D., Hilgard, S., Jia, E., Singh, S. and </w:t>
      </w:r>
      <w:proofErr w:type="spellStart"/>
      <w:r w:rsidRPr="00014220">
        <w:rPr>
          <w:sz w:val="22"/>
          <w:szCs w:val="22"/>
        </w:rPr>
        <w:t>Lakkaraju</w:t>
      </w:r>
      <w:proofErr w:type="spellEnd"/>
      <w:r w:rsidRPr="00014220">
        <w:rPr>
          <w:sz w:val="22"/>
          <w:szCs w:val="22"/>
        </w:rPr>
        <w:t xml:space="preserve">, H. (2020) 'How can we fool LIME and SHAP? Adversarial attacks on post hoc explanation methods', in </w:t>
      </w:r>
      <w:r w:rsidRPr="00014220">
        <w:rPr>
          <w:i/>
          <w:iCs/>
          <w:sz w:val="22"/>
          <w:szCs w:val="22"/>
        </w:rPr>
        <w:t>Proceedings of the AAAI/ACM Conference on AI, Ethics, and Society</w:t>
      </w:r>
      <w:r w:rsidRPr="00014220">
        <w:rPr>
          <w:sz w:val="22"/>
          <w:szCs w:val="22"/>
        </w:rPr>
        <w:t xml:space="preserve">. Available at: </w:t>
      </w:r>
      <w:hyperlink r:id="rId28" w:history="1">
        <w:r w:rsidRPr="00014220">
          <w:rPr>
            <w:rStyle w:val="Hyperlink"/>
            <w:sz w:val="22"/>
            <w:szCs w:val="22"/>
          </w:rPr>
          <w:t>https://arxiv.org/abs/1911.02508</w:t>
        </w:r>
      </w:hyperlink>
      <w:r w:rsidRPr="00014220">
        <w:rPr>
          <w:sz w:val="22"/>
          <w:szCs w:val="22"/>
        </w:rPr>
        <w:t xml:space="preserve"> (Accessed: </w:t>
      </w:r>
      <w:r w:rsidR="00870134">
        <w:rPr>
          <w:sz w:val="22"/>
          <w:szCs w:val="22"/>
        </w:rPr>
        <w:t>12 June</w:t>
      </w:r>
      <w:r w:rsidRPr="00014220">
        <w:rPr>
          <w:sz w:val="22"/>
          <w:szCs w:val="22"/>
        </w:rPr>
        <w:t xml:space="preserve"> 2026).</w:t>
      </w:r>
    </w:p>
    <w:p w14:paraId="33C15A45" w14:textId="0ACCF887"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Verbeke, W., Dejaeger, K., Martens, D., Hur, J. and </w:t>
      </w:r>
      <w:proofErr w:type="spellStart"/>
      <w:r w:rsidRPr="00014220">
        <w:rPr>
          <w:sz w:val="22"/>
          <w:szCs w:val="22"/>
        </w:rPr>
        <w:t>Baesens</w:t>
      </w:r>
      <w:proofErr w:type="spellEnd"/>
      <w:r w:rsidRPr="00014220">
        <w:rPr>
          <w:sz w:val="22"/>
          <w:szCs w:val="22"/>
        </w:rPr>
        <w:t xml:space="preserve">, B. (2012) 'New insights into churn prediction in the telecommunication sector: a profit driven data mining approach', </w:t>
      </w:r>
      <w:r w:rsidRPr="00014220">
        <w:rPr>
          <w:i/>
          <w:iCs/>
          <w:sz w:val="22"/>
          <w:szCs w:val="22"/>
        </w:rPr>
        <w:t>European Journal of Operational Research</w:t>
      </w:r>
      <w:r w:rsidRPr="00014220">
        <w:rPr>
          <w:sz w:val="22"/>
          <w:szCs w:val="22"/>
        </w:rPr>
        <w:t xml:space="preserve">, 218(1), pp. 211–229. Available at: </w:t>
      </w:r>
      <w:hyperlink r:id="rId29" w:history="1">
        <w:r w:rsidRPr="00014220">
          <w:rPr>
            <w:rStyle w:val="Hyperlink"/>
            <w:sz w:val="22"/>
            <w:szCs w:val="22"/>
          </w:rPr>
          <w:t>https://www.researchgate.net/publication/220288606</w:t>
        </w:r>
      </w:hyperlink>
      <w:r w:rsidRPr="00014220">
        <w:rPr>
          <w:sz w:val="22"/>
          <w:szCs w:val="22"/>
        </w:rPr>
        <w:t xml:space="preserve"> (Accessed: </w:t>
      </w:r>
      <w:r w:rsidR="00870134">
        <w:rPr>
          <w:sz w:val="22"/>
          <w:szCs w:val="22"/>
        </w:rPr>
        <w:t>12 June</w:t>
      </w:r>
      <w:r w:rsidRPr="00014220">
        <w:rPr>
          <w:sz w:val="22"/>
          <w:szCs w:val="22"/>
        </w:rPr>
        <w:t xml:space="preserve"> 2026).</w:t>
      </w:r>
    </w:p>
    <w:p w14:paraId="1BB0D785" w14:textId="2F7A8D9A" w:rsidR="00014220"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t xml:space="preserve">Wachter, S., Mittelstadt, B. and Russell, C. (2018) 'Counterfactual explanations without opening the black box: automated decisions and the GDPR', </w:t>
      </w:r>
      <w:r w:rsidRPr="00014220">
        <w:rPr>
          <w:i/>
          <w:iCs/>
          <w:sz w:val="22"/>
          <w:szCs w:val="22"/>
        </w:rPr>
        <w:t>Harvard Journal of Law and Technology</w:t>
      </w:r>
      <w:r w:rsidRPr="00014220">
        <w:rPr>
          <w:sz w:val="22"/>
          <w:szCs w:val="22"/>
        </w:rPr>
        <w:t xml:space="preserve">, 31(2), pp. 841–887. Available at: </w:t>
      </w:r>
      <w:hyperlink r:id="rId30" w:history="1">
        <w:r w:rsidRPr="00014220">
          <w:rPr>
            <w:rStyle w:val="Hyperlink"/>
            <w:sz w:val="22"/>
            <w:szCs w:val="22"/>
          </w:rPr>
          <w:t>https://arxiv.org/abs/1711.00399</w:t>
        </w:r>
      </w:hyperlink>
      <w:r w:rsidRPr="00014220">
        <w:rPr>
          <w:sz w:val="22"/>
          <w:szCs w:val="22"/>
        </w:rPr>
        <w:t xml:space="preserve"> (Accessed: </w:t>
      </w:r>
      <w:r w:rsidR="00870134">
        <w:rPr>
          <w:sz w:val="22"/>
          <w:szCs w:val="22"/>
        </w:rPr>
        <w:t>12 June</w:t>
      </w:r>
      <w:r w:rsidRPr="00014220">
        <w:rPr>
          <w:sz w:val="22"/>
          <w:szCs w:val="22"/>
        </w:rPr>
        <w:t xml:space="preserve"> 2026).</w:t>
      </w:r>
    </w:p>
    <w:p w14:paraId="24901B71" w14:textId="3ECF14AD" w:rsidR="00A50B08" w:rsidRPr="00014220" w:rsidRDefault="00014220" w:rsidP="000B3E49">
      <w:pPr>
        <w:pStyle w:val="ListParagraph"/>
        <w:numPr>
          <w:ilvl w:val="0"/>
          <w:numId w:val="6"/>
        </w:numPr>
        <w:spacing w:before="120" w:after="120" w:line="276" w:lineRule="auto"/>
        <w:jc w:val="both"/>
        <w:rPr>
          <w:sz w:val="22"/>
          <w:szCs w:val="22"/>
        </w:rPr>
      </w:pPr>
      <w:r w:rsidRPr="00014220">
        <w:rPr>
          <w:sz w:val="22"/>
          <w:szCs w:val="22"/>
        </w:rPr>
        <w:lastRenderedPageBreak/>
        <w:t xml:space="preserve">Zhang, Y., Song, K., Sun, Y., Tan, S. and Udell, M. (2019) 'Why should you trust my explanation? Understanding uncertainty in LIME explanations', </w:t>
      </w:r>
      <w:proofErr w:type="spellStart"/>
      <w:r w:rsidRPr="00014220">
        <w:rPr>
          <w:i/>
          <w:iCs/>
          <w:sz w:val="22"/>
          <w:szCs w:val="22"/>
        </w:rPr>
        <w:t>arXiv</w:t>
      </w:r>
      <w:proofErr w:type="spellEnd"/>
      <w:r w:rsidRPr="00014220">
        <w:rPr>
          <w:i/>
          <w:iCs/>
          <w:sz w:val="22"/>
          <w:szCs w:val="22"/>
        </w:rPr>
        <w:t xml:space="preserve"> preprint</w:t>
      </w:r>
      <w:r w:rsidRPr="00014220">
        <w:rPr>
          <w:sz w:val="22"/>
          <w:szCs w:val="22"/>
        </w:rPr>
        <w:t xml:space="preserve">. Available at: </w:t>
      </w:r>
      <w:hyperlink r:id="rId31" w:history="1">
        <w:r w:rsidRPr="00014220">
          <w:rPr>
            <w:rStyle w:val="Hyperlink"/>
            <w:sz w:val="22"/>
            <w:szCs w:val="22"/>
          </w:rPr>
          <w:t>https://arxiv.org/abs/1904.12991</w:t>
        </w:r>
      </w:hyperlink>
      <w:r w:rsidRPr="00014220">
        <w:rPr>
          <w:sz w:val="22"/>
          <w:szCs w:val="22"/>
        </w:rPr>
        <w:t xml:space="preserve"> (Accessed: </w:t>
      </w:r>
      <w:r w:rsidR="00870134">
        <w:rPr>
          <w:sz w:val="22"/>
          <w:szCs w:val="22"/>
        </w:rPr>
        <w:t>12 June</w:t>
      </w:r>
      <w:r w:rsidRPr="00014220">
        <w:rPr>
          <w:sz w:val="22"/>
          <w:szCs w:val="22"/>
        </w:rPr>
        <w:t xml:space="preserve"> 2026).</w:t>
      </w:r>
    </w:p>
    <w:sectPr w:rsidR="00A50B08" w:rsidRPr="00014220">
      <w:headerReference w:type="default" r:id="rId32"/>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1967" w14:textId="77777777" w:rsidR="0093381D" w:rsidRDefault="0093381D">
      <w:r>
        <w:separator/>
      </w:r>
    </w:p>
  </w:endnote>
  <w:endnote w:type="continuationSeparator" w:id="0">
    <w:p w14:paraId="70722843" w14:textId="77777777" w:rsidR="0093381D" w:rsidRDefault="00933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80D1" w14:textId="77777777" w:rsidR="00A50B08" w:rsidRDefault="0093381D">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C2501">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C250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C625" w14:textId="77777777" w:rsidR="0093381D" w:rsidRDefault="0093381D">
      <w:r>
        <w:separator/>
      </w:r>
    </w:p>
  </w:footnote>
  <w:footnote w:type="continuationSeparator" w:id="0">
    <w:p w14:paraId="66AAE20D" w14:textId="77777777" w:rsidR="0093381D" w:rsidRDefault="00933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9AC9" w14:textId="77777777" w:rsidR="00A50B08" w:rsidRDefault="0093381D">
    <w:pPr>
      <w:jc w:val="right"/>
    </w:pPr>
    <w:r>
      <w:rPr>
        <w:color w:val="888888"/>
        <w:sz w:val="18"/>
        <w:szCs w:val="18"/>
      </w:rPr>
      <w:t>Rajarajachozhan V K | 03189049 | LDSCI7237 AE1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08E"/>
    <w:multiLevelType w:val="hybridMultilevel"/>
    <w:tmpl w:val="A1EEC138"/>
    <w:lvl w:ilvl="0" w:tplc="336411E8">
      <w:start w:val="1"/>
      <w:numFmt w:val="bullet"/>
      <w:lvlText w:val="●"/>
      <w:lvlJc w:val="left"/>
      <w:pPr>
        <w:ind w:left="720" w:hanging="360"/>
      </w:pPr>
    </w:lvl>
    <w:lvl w:ilvl="1" w:tplc="70C826DA">
      <w:start w:val="1"/>
      <w:numFmt w:val="bullet"/>
      <w:lvlText w:val="○"/>
      <w:lvlJc w:val="left"/>
      <w:pPr>
        <w:ind w:left="1440" w:hanging="360"/>
      </w:pPr>
    </w:lvl>
    <w:lvl w:ilvl="2" w:tplc="C3A06AA0">
      <w:start w:val="1"/>
      <w:numFmt w:val="bullet"/>
      <w:lvlText w:val="■"/>
      <w:lvlJc w:val="left"/>
      <w:pPr>
        <w:ind w:left="2160" w:hanging="360"/>
      </w:pPr>
    </w:lvl>
    <w:lvl w:ilvl="3" w:tplc="059EC97A">
      <w:start w:val="1"/>
      <w:numFmt w:val="bullet"/>
      <w:lvlText w:val="●"/>
      <w:lvlJc w:val="left"/>
      <w:pPr>
        <w:ind w:left="2880" w:hanging="360"/>
      </w:pPr>
    </w:lvl>
    <w:lvl w:ilvl="4" w:tplc="EC480F3A">
      <w:start w:val="1"/>
      <w:numFmt w:val="bullet"/>
      <w:lvlText w:val="○"/>
      <w:lvlJc w:val="left"/>
      <w:pPr>
        <w:ind w:left="3600" w:hanging="360"/>
      </w:pPr>
    </w:lvl>
    <w:lvl w:ilvl="5" w:tplc="95CAD250">
      <w:start w:val="1"/>
      <w:numFmt w:val="bullet"/>
      <w:lvlText w:val="■"/>
      <w:lvlJc w:val="left"/>
      <w:pPr>
        <w:ind w:left="4320" w:hanging="360"/>
      </w:pPr>
    </w:lvl>
    <w:lvl w:ilvl="6" w:tplc="E35036B8">
      <w:start w:val="1"/>
      <w:numFmt w:val="bullet"/>
      <w:lvlText w:val="●"/>
      <w:lvlJc w:val="left"/>
      <w:pPr>
        <w:ind w:left="5040" w:hanging="360"/>
      </w:pPr>
    </w:lvl>
    <w:lvl w:ilvl="7" w:tplc="A5401AC2">
      <w:start w:val="1"/>
      <w:numFmt w:val="bullet"/>
      <w:lvlText w:val="●"/>
      <w:lvlJc w:val="left"/>
      <w:pPr>
        <w:ind w:left="5760" w:hanging="360"/>
      </w:pPr>
    </w:lvl>
    <w:lvl w:ilvl="8" w:tplc="CB90EBD8">
      <w:start w:val="1"/>
      <w:numFmt w:val="bullet"/>
      <w:lvlText w:val="●"/>
      <w:lvlJc w:val="left"/>
      <w:pPr>
        <w:ind w:left="6480" w:hanging="360"/>
      </w:pPr>
    </w:lvl>
  </w:abstractNum>
  <w:abstractNum w:abstractNumId="1" w15:restartNumberingAfterBreak="0">
    <w:nsid w:val="0DC02C0B"/>
    <w:multiLevelType w:val="hybridMultilevel"/>
    <w:tmpl w:val="B81CAF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C32138"/>
    <w:multiLevelType w:val="multilevel"/>
    <w:tmpl w:val="2BFE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F626B"/>
    <w:multiLevelType w:val="multilevel"/>
    <w:tmpl w:val="2BFE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8B64E3"/>
    <w:multiLevelType w:val="multilevel"/>
    <w:tmpl w:val="2BFE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DF6B81"/>
    <w:multiLevelType w:val="hybridMultilevel"/>
    <w:tmpl w:val="1C507192"/>
    <w:lvl w:ilvl="0" w:tplc="80EEB374">
      <w:start w:val="1"/>
      <w:numFmt w:val="bullet"/>
      <w:lvlText w:val="•"/>
      <w:lvlJc w:val="left"/>
      <w:pPr>
        <w:ind w:left="720" w:hanging="360"/>
      </w:pPr>
    </w:lvl>
    <w:lvl w:ilvl="1" w:tplc="D6FE67FA">
      <w:numFmt w:val="decimal"/>
      <w:lvlText w:val=""/>
      <w:lvlJc w:val="left"/>
    </w:lvl>
    <w:lvl w:ilvl="2" w:tplc="681091A2">
      <w:numFmt w:val="decimal"/>
      <w:lvlText w:val=""/>
      <w:lvlJc w:val="left"/>
    </w:lvl>
    <w:lvl w:ilvl="3" w:tplc="8F8C917E">
      <w:numFmt w:val="decimal"/>
      <w:lvlText w:val=""/>
      <w:lvlJc w:val="left"/>
    </w:lvl>
    <w:lvl w:ilvl="4" w:tplc="15DE5256">
      <w:numFmt w:val="decimal"/>
      <w:lvlText w:val=""/>
      <w:lvlJc w:val="left"/>
    </w:lvl>
    <w:lvl w:ilvl="5" w:tplc="090C631C">
      <w:numFmt w:val="decimal"/>
      <w:lvlText w:val=""/>
      <w:lvlJc w:val="left"/>
    </w:lvl>
    <w:lvl w:ilvl="6" w:tplc="8C564F9C">
      <w:numFmt w:val="decimal"/>
      <w:lvlText w:val=""/>
      <w:lvlJc w:val="left"/>
    </w:lvl>
    <w:lvl w:ilvl="7" w:tplc="99A60E74">
      <w:numFmt w:val="decimal"/>
      <w:lvlText w:val=""/>
      <w:lvlJc w:val="left"/>
    </w:lvl>
    <w:lvl w:ilvl="8" w:tplc="D918E56C">
      <w:numFmt w:val="decimal"/>
      <w:lvlText w:val=""/>
      <w:lvlJc w:val="left"/>
    </w:lvl>
  </w:abstractNum>
  <w:abstractNum w:abstractNumId="6" w15:restartNumberingAfterBreak="0">
    <w:nsid w:val="7F327916"/>
    <w:multiLevelType w:val="multilevel"/>
    <w:tmpl w:val="2BFE20E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153341">
    <w:abstractNumId w:val="0"/>
    <w:lvlOverride w:ilvl="0">
      <w:startOverride w:val="1"/>
    </w:lvlOverride>
  </w:num>
  <w:num w:numId="2" w16cid:durableId="56899232">
    <w:abstractNumId w:val="4"/>
  </w:num>
  <w:num w:numId="3" w16cid:durableId="1940678456">
    <w:abstractNumId w:val="1"/>
  </w:num>
  <w:num w:numId="4" w16cid:durableId="64190409">
    <w:abstractNumId w:val="2"/>
  </w:num>
  <w:num w:numId="5" w16cid:durableId="1817065996">
    <w:abstractNumId w:val="3"/>
  </w:num>
  <w:num w:numId="6" w16cid:durableId="421415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B08"/>
    <w:rsid w:val="00014220"/>
    <w:rsid w:val="00043488"/>
    <w:rsid w:val="000B3E49"/>
    <w:rsid w:val="00275A87"/>
    <w:rsid w:val="002C2501"/>
    <w:rsid w:val="00397ACA"/>
    <w:rsid w:val="003C70B8"/>
    <w:rsid w:val="00414168"/>
    <w:rsid w:val="004E2E94"/>
    <w:rsid w:val="00823839"/>
    <w:rsid w:val="00841E22"/>
    <w:rsid w:val="00870134"/>
    <w:rsid w:val="00882350"/>
    <w:rsid w:val="0093381D"/>
    <w:rsid w:val="009B73E3"/>
    <w:rsid w:val="00A50B08"/>
    <w:rsid w:val="00A9157C"/>
    <w:rsid w:val="00A94880"/>
    <w:rsid w:val="00B944FA"/>
    <w:rsid w:val="00BC0951"/>
    <w:rsid w:val="00C9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B755"/>
  <w15:docId w15:val="{3E189CCF-E2C9-487D-BCB2-614694E2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2937"/>
      <w:sz w:val="32"/>
      <w:szCs w:val="32"/>
    </w:rPr>
  </w:style>
  <w:style w:type="paragraph" w:styleId="Heading2">
    <w:name w:val="heading 2"/>
    <w:uiPriority w:val="9"/>
    <w:unhideWhenUsed/>
    <w:qFormat/>
    <w:pPr>
      <w:spacing w:before="240" w:after="120"/>
      <w:outlineLvl w:val="1"/>
    </w:pPr>
    <w:rPr>
      <w:b/>
      <w:bCs/>
      <w:color w:val="374151"/>
      <w:sz w:val="28"/>
      <w:szCs w:val="28"/>
    </w:rPr>
  </w:style>
  <w:style w:type="paragraph" w:styleId="Heading3">
    <w:name w:val="heading 3"/>
    <w:uiPriority w:val="9"/>
    <w:unhideWhenUsed/>
    <w:qFormat/>
    <w:pPr>
      <w:spacing w:before="180" w:after="100"/>
      <w:outlineLvl w:val="2"/>
    </w:pPr>
    <w:rPr>
      <w:b/>
      <w:bCs/>
      <w:color w:val="4B556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C2501"/>
    <w:pPr>
      <w:spacing w:after="100"/>
    </w:pPr>
  </w:style>
  <w:style w:type="paragraph" w:styleId="TOC2">
    <w:name w:val="toc 2"/>
    <w:basedOn w:val="Normal"/>
    <w:next w:val="Normal"/>
    <w:autoRedefine/>
    <w:uiPriority w:val="39"/>
    <w:unhideWhenUsed/>
    <w:rsid w:val="002C2501"/>
    <w:pPr>
      <w:spacing w:after="100"/>
      <w:ind w:left="240"/>
    </w:pPr>
  </w:style>
  <w:style w:type="paragraph" w:styleId="TOC3">
    <w:name w:val="toc 3"/>
    <w:basedOn w:val="Normal"/>
    <w:next w:val="Normal"/>
    <w:autoRedefine/>
    <w:uiPriority w:val="39"/>
    <w:unhideWhenUsed/>
    <w:rsid w:val="002C2501"/>
    <w:pPr>
      <w:spacing w:after="100"/>
      <w:ind w:left="480"/>
    </w:pPr>
  </w:style>
  <w:style w:type="character" w:styleId="UnresolvedMention">
    <w:name w:val="Unresolved Mention"/>
    <w:basedOn w:val="DefaultParagraphFont"/>
    <w:uiPriority w:val="99"/>
    <w:semiHidden/>
    <w:unhideWhenUsed/>
    <w:rsid w:val="000142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rxiv.org/abs/1603.02754" TargetMode="External"/><Relationship Id="rId18" Type="http://schemas.openxmlformats.org/officeDocument/2006/relationships/hyperlink" Target="https://www.mdpi.com/2227-7080/13/3/88" TargetMode="External"/><Relationship Id="rId26" Type="http://schemas.openxmlformats.org/officeDocument/2006/relationships/hyperlink" Target="https://arxiv.org/abs/1811.10154" TargetMode="External"/><Relationship Id="rId3" Type="http://schemas.openxmlformats.org/officeDocument/2006/relationships/settings" Target="settings.xml"/><Relationship Id="rId21" Type="http://schemas.openxmlformats.org/officeDocument/2006/relationships/hyperlink" Target="https://arxiv.org/abs/1802.03888"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023/A:1010933404324" TargetMode="External"/><Relationship Id="rId17" Type="http://schemas.openxmlformats.org/officeDocument/2006/relationships/hyperlink" Target="https://arxiv.org/abs/1806.10758" TargetMode="External"/><Relationship Id="rId25" Type="http://schemas.openxmlformats.org/officeDocument/2006/relationships/hyperlink" Target="https://arxiv.org/abs/1602.04938"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iieta.org/journals/mmep/paper/10.18280/mmep.121226" TargetMode="External"/><Relationship Id="rId20" Type="http://schemas.openxmlformats.org/officeDocument/2006/relationships/hyperlink" Target="https://arxiv.org/abs/1705.07874" TargetMode="External"/><Relationship Id="rId29" Type="http://schemas.openxmlformats.org/officeDocument/2006/relationships/hyperlink" Target="https://www.researchgate.net/publication/22028860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981-95-2875-2_1" TargetMode="External"/><Relationship Id="rId24" Type="http://schemas.openxmlformats.org/officeDocument/2006/relationships/hyperlink" Target="https://doi.org/10.1007/s41060-025-01018-0"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3389/frai.2026.1748799" TargetMode="External"/><Relationship Id="rId23" Type="http://schemas.openxmlformats.org/officeDocument/2006/relationships/hyperlink" Target="https://jurnal.polibatam.ac.id/index.php/JAIC/article/view/8740" TargetMode="External"/><Relationship Id="rId28" Type="http://schemas.openxmlformats.org/officeDocument/2006/relationships/hyperlink" Target="https://arxiv.org/abs/1911.02508" TargetMode="External"/><Relationship Id="rId10" Type="http://schemas.openxmlformats.org/officeDocument/2006/relationships/hyperlink" Target="https://arxiv.org/abs/1909.06342" TargetMode="External"/><Relationship Id="rId19" Type="http://schemas.openxmlformats.org/officeDocument/2006/relationships/hyperlink" Target="https://arxiv.org/abs/2202.01602" TargetMode="External"/><Relationship Id="rId31" Type="http://schemas.openxmlformats.org/officeDocument/2006/relationships/hyperlink" Target="https://arxiv.org/abs/1904.12991" TargetMode="External"/><Relationship Id="rId4" Type="http://schemas.openxmlformats.org/officeDocument/2006/relationships/webSettings" Target="webSettings.xml"/><Relationship Id="rId9" Type="http://schemas.openxmlformats.org/officeDocument/2006/relationships/hyperlink" Target="https://publications.eai.eu/index.php/airo/article/view/9813" TargetMode="External"/><Relationship Id="rId14" Type="http://schemas.openxmlformats.org/officeDocument/2006/relationships/hyperlink" Target="https://arxiv.org/abs/1702.08608" TargetMode="External"/><Relationship Id="rId22" Type="http://schemas.openxmlformats.org/officeDocument/2006/relationships/hyperlink" Target="https://christophm.github.io/interpretable-ml-book/" TargetMode="External"/><Relationship Id="rId27" Type="http://schemas.openxmlformats.org/officeDocument/2006/relationships/hyperlink" Target="https://ir.lawnet.fordham.edu/flr/vol87/iss3/11/" TargetMode="External"/><Relationship Id="rId30" Type="http://schemas.openxmlformats.org/officeDocument/2006/relationships/hyperlink" Target="https://arxiv.org/abs/1711.00399" TargetMode="External"/><Relationship Id="rId35" Type="http://schemas.openxmlformats.org/officeDocument/2006/relationships/theme" Target="theme/theme1.xml"/><Relationship Id="rId8" Type="http://schemas.openxmlformats.org/officeDocument/2006/relationships/hyperlink" Target="https://doi.org/10.1109/ACCESS.2018.2870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7304</Words>
  <Characters>41639</Characters>
  <Application>Microsoft Office Word</Application>
  <DocSecurity>0</DocSecurity>
  <Lines>346</Lines>
  <Paragraphs>97</Paragraphs>
  <ScaleCrop>false</ScaleCrop>
  <Company/>
  <LinksUpToDate>false</LinksUpToDate>
  <CharactersWithSpaces>48846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Dissertation Project Proposal</dc:title>
  <dc:creator>Rajarajachozhan V K</dc:creator>
  <cp:lastModifiedBy>Raja Raja Chozhan V K</cp:lastModifiedBy>
  <cp:revision>2</cp:revision>
  <dcterms:created xsi:type="dcterms:W3CDTF">2026-06-13T00:06:00Z</dcterms:created>
  <dcterms:modified xsi:type="dcterms:W3CDTF">2026-06-13T00:06:00Z</dcterms:modified>
</cp:coreProperties>
</file>