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FORWARD DEPLOYED AI ENGINEERING</w:t>
      </w:r>
    </w:p>
    <w:p>
      <w:pPr>
        <w:spacing w:after="60"/>
        <w:jc w:val="center"/>
      </w:pPr>
      <w:r>
        <w:rPr>
          <w:sz w:val="20"/>
          <w:szCs w:val="20"/>
        </w:rPr>
        <w:t xml:space="preserve">Capstone Project — CloudServe Solutions</w:t>
      </w:r>
    </w:p>
    <w:p>
      <w:pPr>
        <w:spacing w:after="300"/>
        <w:jc w:val="center"/>
      </w:pPr>
      <w:r>
        <w:rPr>
          <w:b/>
          <w:bCs/>
          <w:sz w:val="32"/>
          <w:szCs w:val="32"/>
        </w:rPr>
        <w:t xml:space="preserve">Governance Framework</w:t>
      </w:r>
    </w:p>
    <w:p>
      <w:pPr>
        <w:spacing w:after="160"/>
      </w:pPr>
      <w:r>
        <w:rPr>
          <w:b/>
          <w:bCs/>
          <w:i w:val="false"/>
          <w:iCs w:val="false"/>
          <w:sz w:val="20"/>
          <w:szCs w:val="20"/>
        </w:rPr>
        <w:t xml:space="preserve">Completed by: Rajarajan Venkatesan  |  16 September 2026  |  Evidence: gate run of 14 September, 580 tickets</w:t>
      </w:r>
    </w:p>
    <w:p>
      <w:pPr>
        <w:pBdr>
          <w:top w:val="single" w:color="999999" w:sz="6"/>
          <w:bottom w:val="single" w:color="999999" w:sz="6"/>
          <w:left w:val="single" w:color="999999" w:sz="6"/>
          <w:right w:val="single" w:color="999999" w:sz="6"/>
        </w:pBdr>
        <w:spacing w:after="200" w:before="120"/>
      </w:pPr>
      <w:r>
        <w:rPr>
          <w:b/>
          <w:bCs/>
          <w:sz w:val="20"/>
          <w:szCs w:val="20"/>
        </w:rPr>
        <w:t xml:space="preserve">The test applied throughout.  </w:t>
      </w:r>
      <w:r>
        <w:rPr>
          <w:sz w:val="20"/>
          <w:szCs w:val="20"/>
        </w:rPr>
        <w:t xml:space="preserve">The framework proposes one test for whether governance is real: pick a plausible way the system could harm a customer, and ask what in the design would stop it. If the answer describes a property of the model rather than a control that was built, it is a hope. Every mitigation in this document names a file and a function. Where version one had only a hope — there was no way to stop the system without a redeploy — the control was built before this document claimed it existed.</w:t>
      </w:r>
    </w:p>
    <w:p>
      <w:pPr>
        <w:pStyle w:val="Heading1"/>
        <w:spacing w:after="150" w:before="300"/>
      </w:pPr>
      <w:r>
        <w:t xml:space="preserve">1. Decision logging</w:t>
      </w:r>
    </w:p>
    <w:p>
      <w:pPr>
        <w:spacing w:after="160"/>
      </w:pPr>
      <w:r>
        <w:rPr>
          <w:b w:val="false"/>
          <w:bCs w:val="false"/>
          <w:i/>
          <w:iCs/>
          <w:sz w:val="20"/>
          <w:szCs w:val="20"/>
        </w:rPr>
        <w:t xml:space="preserve">Every automated decision is written to a SQLite store (src/logging_store.py) as it is taken, not reconstructed afterwards. A decision that is not logged did not happen, as far as any later audit is concerned.</w:t>
      </w:r>
    </w:p>
    <w:p>
      <w:pPr>
        <w:pStyle w:val="Heading2"/>
        <w:spacing w:after="120" w:before="240"/>
      </w:pPr>
      <w:r>
        <w:t xml:space="preserve">The record as implemented</w:t>
      </w:r>
    </w:p>
    <w:p>
      <w:pPr>
        <w:spacing w:after="0" w:line="200"/>
        <w:ind w:left="120"/>
      </w:pPr>
      <w:r>
        <w:rPr>
          <w:rFonts w:ascii="Consolas" w:cs="Consolas" w:eastAsia="Consolas" w:hAnsi="Consolas"/>
          <w:sz w:val="14"/>
          <w:szCs w:val="14"/>
        </w:rPr>
        <w:t xml:space="preserve">{</w:t>
      </w:r>
    </w:p>
    <w:p>
      <w:pPr>
        <w:spacing w:after="0" w:line="200"/>
        <w:ind w:left="120"/>
      </w:pPr>
      <w:r>
        <w:rPr>
          <w:rFonts w:ascii="Consolas" w:cs="Consolas" w:eastAsia="Consolas" w:hAnsi="Consolas"/>
          <w:sz w:val="14"/>
          <w:szCs w:val="14"/>
        </w:rPr>
        <w:t xml:space="preserve">  "decision_id":      "a1f3...",           uuid4, unique per decision</w:t>
      </w:r>
    </w:p>
    <w:p>
      <w:pPr>
        <w:spacing w:after="0" w:line="200"/>
        <w:ind w:left="120"/>
      </w:pPr>
      <w:r>
        <w:rPr>
          <w:rFonts w:ascii="Consolas" w:cs="Consolas" w:eastAsia="Consolas" w:hAnsi="Consolas"/>
          <w:sz w:val="14"/>
          <w:szCs w:val="14"/>
        </w:rPr>
        <w:t xml:space="preserve">  "created_at":       "2026-09-14T...",    ISO-8601 UTC</w:t>
      </w:r>
    </w:p>
    <w:p>
      <w:pPr>
        <w:spacing w:after="0" w:line="200"/>
        <w:ind w:left="120"/>
      </w:pPr>
      <w:r>
        <w:rPr>
          <w:rFonts w:ascii="Consolas" w:cs="Consolas" w:eastAsia="Consolas" w:hAnsi="Consolas"/>
          <w:sz w:val="14"/>
          <w:szCs w:val="14"/>
        </w:rPr>
        <w:t xml:space="preserve">  "ticket_id":        "VAL-0042",</w:t>
      </w:r>
    </w:p>
    <w:p>
      <w:pPr>
        <w:spacing w:after="0" w:line="200"/>
        <w:ind w:left="120"/>
      </w:pPr>
      <w:r>
        <w:rPr>
          <w:rFonts w:ascii="Consolas" w:cs="Consolas" w:eastAsia="Consolas" w:hAnsi="Consolas"/>
          <w:sz w:val="14"/>
          <w:szCs w:val="14"/>
        </w:rPr>
        <w:t xml:space="preserve">  "stage":            "classify | retrieve | route | generate | validate | kill_switch",</w:t>
      </w:r>
    </w:p>
    <w:p>
      <w:pPr>
        <w:spacing w:after="0" w:line="200"/>
        <w:ind w:left="120"/>
      </w:pPr>
      <w:r>
        <w:rPr>
          <w:rFonts w:ascii="Consolas" w:cs="Consolas" w:eastAsia="Consolas" w:hAnsi="Consolas"/>
          <w:sz w:val="14"/>
          <w:szCs w:val="14"/>
        </w:rPr>
        <w:t xml:space="preserve">  "prediction":       "authentication_failure",</w:t>
      </w:r>
    </w:p>
    <w:p>
      <w:pPr>
        <w:spacing w:after="0" w:line="200"/>
        <w:ind w:left="120"/>
      </w:pPr>
      <w:r>
        <w:rPr>
          <w:rFonts w:ascii="Consolas" w:cs="Consolas" w:eastAsia="Consolas" w:hAnsi="Consolas"/>
          <w:sz w:val="14"/>
          <w:szCs w:val="14"/>
        </w:rPr>
        <w:t xml:space="preserve">  "confidence":       0.78,</w:t>
      </w:r>
    </w:p>
    <w:p>
      <w:pPr>
        <w:spacing w:after="0" w:line="200"/>
        <w:ind w:left="120"/>
      </w:pPr>
      <w:r>
        <w:rPr>
          <w:rFonts w:ascii="Consolas" w:cs="Consolas" w:eastAsia="Consolas" w:hAnsi="Consolas"/>
          <w:sz w:val="14"/>
          <w:szCs w:val="14"/>
        </w:rPr>
        <w:t xml:space="preserve">  "threshold":        0.45,                the value actually applied</w:t>
      </w:r>
    </w:p>
    <w:p>
      <w:pPr>
        <w:spacing w:after="0" w:line="200"/>
        <w:ind w:left="120"/>
      </w:pPr>
      <w:r>
        <w:rPr>
          <w:rFonts w:ascii="Consolas" w:cs="Consolas" w:eastAsia="Consolas" w:hAnsi="Consolas"/>
          <w:sz w:val="14"/>
          <w:szCs w:val="14"/>
        </w:rPr>
        <w:t xml:space="preserve">  "action_taken":     "auto_respond | escalate | block",</w:t>
      </w:r>
    </w:p>
    <w:p>
      <w:pPr>
        <w:spacing w:after="0" w:line="200"/>
        <w:ind w:left="120"/>
      </w:pPr>
      <w:r>
        <w:rPr>
          <w:rFonts w:ascii="Consolas" w:cs="Consolas" w:eastAsia="Consolas" w:hAnsi="Consolas"/>
          <w:sz w:val="14"/>
          <w:szCs w:val="14"/>
        </w:rPr>
        <w:t xml:space="preserve">  "reason":           "Classified as authentication failure with 78%</w:t>
      </w:r>
    </w:p>
    <w:p>
      <w:pPr>
        <w:spacing w:after="0" w:line="200"/>
        <w:ind w:left="120"/>
      </w:pPr>
      <w:r>
        <w:rPr>
          <w:rFonts w:ascii="Consolas" w:cs="Consolas" w:eastAsia="Consolas" w:hAnsi="Consolas"/>
          <w:sz w:val="14"/>
          <w:szCs w:val="14"/>
        </w:rPr>
        <w:t xml:space="preserve">                       confidence, and the documentation contains a</w:t>
      </w:r>
    </w:p>
    <w:p>
      <w:pPr>
        <w:spacing w:after="0" w:line="200"/>
        <w:ind w:left="120"/>
      </w:pPr>
      <w:r>
        <w:rPr>
          <w:rFonts w:ascii="Consolas" w:cs="Consolas" w:eastAsia="Consolas" w:hAnsi="Consolas"/>
          <w:sz w:val="14"/>
          <w:szCs w:val="14"/>
        </w:rPr>
        <w:t xml:space="preserve">                       matching answer (DOC-AUTH-001).",</w:t>
      </w:r>
    </w:p>
    <w:p>
      <w:pPr>
        <w:spacing w:after="0" w:line="200"/>
        <w:ind w:left="120"/>
      </w:pPr>
      <w:r>
        <w:rPr>
          <w:rFonts w:ascii="Consolas" w:cs="Consolas" w:eastAsia="Consolas" w:hAnsi="Consolas"/>
          <w:sz w:val="14"/>
          <w:szCs w:val="14"/>
        </w:rPr>
        <w:t xml:space="preserve">  "sources_used":     "DOC-AUTH-001,DOC-AUTH-002",</w:t>
      </w:r>
    </w:p>
    <w:p>
      <w:pPr>
        <w:spacing w:after="0" w:line="200"/>
        <w:ind w:left="120"/>
      </w:pPr>
      <w:r>
        <w:rPr>
          <w:rFonts w:ascii="Consolas" w:cs="Consolas" w:eastAsia="Consolas" w:hAnsi="Consolas"/>
          <w:sz w:val="14"/>
          <w:szCs w:val="14"/>
        </w:rPr>
        <w:t xml:space="preserve">  "guardrails":       "private_data,forbidden_commitment,</w:t>
      </w:r>
    </w:p>
    <w:p>
      <w:pPr>
        <w:spacing w:after="0" w:line="200"/>
        <w:ind w:left="120"/>
      </w:pPr>
      <w:r>
        <w:rPr>
          <w:rFonts w:ascii="Consolas" w:cs="Consolas" w:eastAsia="Consolas" w:hAnsi="Consolas"/>
          <w:sz w:val="14"/>
          <w:szCs w:val="14"/>
        </w:rPr>
        <w:t xml:space="preserve">                       unsupported_citation,ungrounded_answer",</w:t>
      </w:r>
    </w:p>
    <w:p>
      <w:pPr>
        <w:spacing w:after="0" w:line="200"/>
        <w:ind w:left="120"/>
      </w:pPr>
      <w:r>
        <w:rPr>
          <w:rFonts w:ascii="Consolas" w:cs="Consolas" w:eastAsia="Consolas" w:hAnsi="Consolas"/>
          <w:sz w:val="14"/>
          <w:szCs w:val="14"/>
        </w:rPr>
        <w:t xml:space="preserve">  "prompt_version":   "classify_ticket_v1.0",</w:t>
      </w:r>
    </w:p>
    <w:p>
      <w:pPr>
        <w:spacing w:after="0" w:line="200"/>
        <w:ind w:left="120"/>
      </w:pPr>
      <w:r>
        <w:rPr>
          <w:rFonts w:ascii="Consolas" w:cs="Consolas" w:eastAsia="Consolas" w:hAnsi="Consolas"/>
          <w:sz w:val="14"/>
          <w:szCs w:val="14"/>
        </w:rPr>
        <w:t xml:space="preserve">  "requirement_ids":  "FR-02"</w:t>
      </w:r>
    </w:p>
    <w:p>
      <w:pPr>
        <w:spacing w:after="0" w:line="200"/>
        <w:ind w:left="120"/>
      </w:pPr>
      <w:r>
        <w:rPr>
          <w:rFonts w:ascii="Consolas" w:cs="Consolas" w:eastAsia="Consolas" w:hAnsi="Consolas"/>
          <w:sz w:val="14"/>
          <w:szCs w:val="14"/>
        </w:rPr>
        <w:t xml:space="preserve">}</w:t>
      </w:r>
    </w:p>
    <w:p>
      <w:pPr>
        <w:spacing w:after="80"/>
      </w:pPr>
    </w:p>
    <w:p>
      <w:pPr>
        <w:spacing w:after="160"/>
      </w:pPr>
      <w:r>
        <w:rPr>
          <w:b w:val="false"/>
          <w:bCs w:val="false"/>
          <w:i w:val="false"/>
          <w:iCs w:val="false"/>
          <w:sz w:val="20"/>
          <w:szCs w:val="20"/>
        </w:rPr>
        <w:t xml:space="preserve">The last two fields matter most. Recording which prompt version and which requirement produced a decision is what answers the question that always follows an incident: was this behaviour intended, or a defect?</w:t>
      </w:r>
    </w:p>
    <w:p>
      <w:pPr>
        <w:pStyle w:val="Heading2"/>
        <w:spacing w:after="120" w:before="240"/>
      </w:pPr>
      <w:r>
        <w:t xml:space="preserve">Coverage check — measured, not asserted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1411"/>
        <w:gridCol w:w="6048"/>
      </w:tblGrid>
      <w:tr>
        <w:trPr>
          <w:tblHeader/>
        </w:trPr>
        <w:tc>
          <w:tcPr>
            <w:tcW w:type="dxa" w:w="2621"/>
            <w:shd w:fill="DCE6F1" w:val="clear"/>
          </w:tcPr>
          <w:p>
            <w:r>
              <w:rPr>
                <w:b/>
                <w:bCs/>
                <w:sz w:val="18"/>
                <w:szCs w:val="18"/>
              </w:rPr>
              <w:t xml:space="preserve">Measure</w:t>
            </w:r>
          </w:p>
        </w:tc>
        <w:tc>
          <w:tcPr>
            <w:tcW w:type="dxa" w:w="1411"/>
            <w:shd w:fill="DCE6F1" w:val="clear"/>
          </w:tcPr>
          <w:p>
            <w:r>
              <w:rPr>
                <w:b/>
                <w:bCs/>
                <w:sz w:val="18"/>
                <w:szCs w:val="18"/>
              </w:rPr>
              <w:t xml:space="preserve">Value</w:t>
            </w:r>
          </w:p>
        </w:tc>
        <w:tc>
          <w:tcPr>
            <w:tcW w:type="dxa" w:w="6048"/>
            <w:shd w:fill="DCE6F1" w:val="clear"/>
          </w:tcPr>
          <w:p>
            <w:r>
              <w:rPr>
                <w:b/>
                <w:bCs/>
                <w:sz w:val="18"/>
                <w:szCs w:val="18"/>
              </w:rPr>
              <w:t xml:space="preserve">What it means</w:t>
            </w:r>
          </w:p>
        </w:tc>
      </w:tr>
      <w:tr>
        <w:tc>
          <w:tcPr>
            <w:tcW w:type="dxa" w:w="2621"/>
          </w:tcPr>
          <w:p>
            <w:r>
              <w:rPr>
                <w:b/>
                <w:bCs/>
                <w:sz w:val="18"/>
                <w:szCs w:val="18"/>
              </w:rPr>
              <w:t xml:space="preserve">Tickets processed</w:t>
            </w:r>
          </w:p>
        </w:tc>
        <w:tc>
          <w:tcPr>
            <w:tcW w:type="dxa" w:w="1411"/>
          </w:tcPr>
          <w:p>
            <w:r>
              <w:rPr>
                <w:b w:val="false"/>
                <w:bCs w:val="false"/>
                <w:sz w:val="18"/>
                <w:szCs w:val="18"/>
              </w:rPr>
              <w:t xml:space="preserve">580</w:t>
            </w:r>
          </w:p>
        </w:tc>
        <w:tc>
          <w:tcPr>
            <w:tcW w:type="dxa" w:w="6048"/>
          </w:tcPr>
          <w:p>
            <w:r>
              <w:rPr>
                <w:b w:val="false"/>
                <w:bCs w:val="false"/>
                <w:sz w:val="18"/>
                <w:szCs w:val="18"/>
              </w:rPr>
              <w:t xml:space="preserve">The full development plus validation set, in one unattended run</w:t>
            </w:r>
          </w:p>
        </w:tc>
      </w:tr>
      <w:tr>
        <w:tc>
          <w:tcPr>
            <w:tcW w:type="dxa" w:w="2621"/>
          </w:tcPr>
          <w:p>
            <w:r>
              <w:rPr>
                <w:b/>
                <w:bCs/>
                <w:sz w:val="18"/>
                <w:szCs w:val="18"/>
              </w:rPr>
              <w:t xml:space="preserve">Decisions logged</w:t>
            </w:r>
          </w:p>
        </w:tc>
        <w:tc>
          <w:tcPr>
            <w:tcW w:type="dxa" w:w="1411"/>
          </w:tcPr>
          <w:p>
            <w:r>
              <w:rPr>
                <w:b w:val="false"/>
                <w:bCs w:val="false"/>
                <w:sz w:val="18"/>
                <w:szCs w:val="18"/>
              </w:rPr>
              <w:t xml:space="preserve">2,490</w:t>
            </w:r>
          </w:p>
        </w:tc>
        <w:tc>
          <w:tcPr>
            <w:tcW w:type="dxa" w:w="6048"/>
          </w:tcPr>
          <w:p>
            <w:r>
              <w:rPr>
                <w:b w:val="false"/>
                <w:bCs w:val="false"/>
                <w:sz w:val="18"/>
                <w:szCs w:val="18"/>
              </w:rPr>
              <w:t xml:space="preserve">Between four and five stages recorded per ticket</w:t>
            </w:r>
          </w:p>
        </w:tc>
      </w:tr>
      <w:tr>
        <w:tc>
          <w:tcPr>
            <w:tcW w:type="dxa" w:w="2621"/>
          </w:tcPr>
          <w:p>
            <w:r>
              <w:rPr>
                <w:b/>
                <w:bCs/>
                <w:sz w:val="18"/>
                <w:szCs w:val="18"/>
              </w:rPr>
              <w:t xml:space="preserve">Reconciles</w:t>
            </w:r>
          </w:p>
        </w:tc>
        <w:tc>
          <w:tcPr>
            <w:tcW w:type="dxa" w:w="1411"/>
          </w:tcPr>
          <w:p>
            <w:r>
              <w:rPr>
                <w:b w:val="false"/>
                <w:bCs w:val="false"/>
                <w:sz w:val="18"/>
                <w:szCs w:val="18"/>
              </w:rPr>
              <w:t xml:space="preserve">Yes</w:t>
            </w:r>
          </w:p>
        </w:tc>
        <w:tc>
          <w:tcPr>
            <w:tcW w:type="dxa" w:w="6048"/>
          </w:tcPr>
          <w:p>
            <w:r>
              <w:rPr>
                <w:b w:val="false"/>
                <w:bCs w:val="false"/>
                <w:sz w:val="18"/>
                <w:szCs w:val="18"/>
              </w:rPr>
              <w:t xml:space="preserve">Every ticket contributed at least one logged decision; no path takes a decision silently</w:t>
            </w:r>
          </w:p>
        </w:tc>
      </w:tr>
      <w:tr>
        <w:tc>
          <w:tcPr>
            <w:tcW w:type="dxa" w:w="2621"/>
          </w:tcPr>
          <w:p>
            <w:r>
              <w:rPr>
                <w:b/>
                <w:bCs/>
                <w:sz w:val="18"/>
                <w:szCs w:val="18"/>
              </w:rPr>
              <w:t xml:space="preserve">Processing errors</w:t>
            </w:r>
          </w:p>
        </w:tc>
        <w:tc>
          <w:tcPr>
            <w:tcW w:type="dxa" w:w="1411"/>
          </w:tcPr>
          <w:p>
            <w:r>
              <w:rPr>
                <w:b w:val="false"/>
                <w:bCs w:val="false"/>
                <w:sz w:val="18"/>
                <w:szCs w:val="18"/>
              </w:rPr>
              <w:t xml:space="preserve">0</w:t>
            </w:r>
          </w:p>
        </w:tc>
        <w:tc>
          <w:tcPr>
            <w:tcW w:type="dxa" w:w="6048"/>
          </w:tcPr>
          <w:p>
            <w:r>
              <w:rPr>
                <w:b w:val="false"/>
                <w:bCs w:val="false"/>
                <w:sz w:val="18"/>
                <w:szCs w:val="18"/>
              </w:rPr>
              <w:t xml:space="preserve">No ticket failed in a way that bypassed logging</w:t>
            </w:r>
          </w:p>
        </w:tc>
      </w:tr>
    </w:tbl>
    <w:p>
      <w:pPr>
        <w:spacing w:after="80"/>
      </w:pPr>
    </w:p>
    <w:p>
      <w:pPr>
        <w:spacing w:after="160"/>
      </w:pPr>
      <w:r>
        <w:rPr>
          <w:b w:val="false"/>
          <w:bCs w:val="false"/>
          <w:i/>
          <w:iCs/>
          <w:sz w:val="20"/>
          <w:szCs w:val="20"/>
        </w:rPr>
        <w:t xml:space="preserve">The harness computes this reconciliation itself and reports it in metrics_report.json under governance.decisions_reconcile. It is not a figure counted by hand at the end.</w:t>
      </w:r>
    </w:p>
    <w:p>
      <w:r>
        <w:br w:type="page"/>
      </w:r>
    </w:p>
    <w:p>
      <w:pPr>
        <w:pStyle w:val="Heading1"/>
        <w:spacing w:after="150" w:before="300"/>
      </w:pPr>
      <w:r>
        <w:t xml:space="preserve">2. Risk register</w:t>
      </w:r>
    </w:p>
    <w:p>
      <w:pPr>
        <w:spacing w:after="160"/>
      </w:pPr>
      <w:r>
        <w:rPr>
          <w:b w:val="false"/>
          <w:bCs w:val="false"/>
          <w:i/>
          <w:iCs/>
          <w:sz w:val="20"/>
          <w:szCs w:val="20"/>
        </w:rPr>
        <w:t xml:space="preserve">Each risk names the control in the code that addresses it, with the file it lives in. A mitigation phrased as an intention is not a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
        <w:gridCol w:w="1613"/>
        <w:gridCol w:w="1008"/>
        <w:gridCol w:w="706"/>
        <w:gridCol w:w="4838"/>
        <w:gridCol w:w="1411"/>
      </w:tblGrid>
      <w:tr>
        <w:trPr>
          <w:tblHeader/>
        </w:trPr>
        <w:tc>
          <w:tcPr>
            <w:tcW w:type="dxa" w:w="504"/>
            <w:shd w:fill="DCE6F1" w:val="clear"/>
          </w:tcPr>
          <w:p>
            <w:r>
              <w:rPr>
                <w:b/>
                <w:bCs/>
                <w:sz w:val="18"/>
                <w:szCs w:val="18"/>
              </w:rPr>
              <w:t xml:space="preserve">ID</w:t>
            </w:r>
          </w:p>
        </w:tc>
        <w:tc>
          <w:tcPr>
            <w:tcW w:type="dxa" w:w="1613"/>
            <w:shd w:fill="DCE6F1" w:val="clear"/>
          </w:tcPr>
          <w:p>
            <w:r>
              <w:rPr>
                <w:b/>
                <w:bCs/>
                <w:sz w:val="18"/>
                <w:szCs w:val="18"/>
              </w:rPr>
              <w:t xml:space="preserve">Risk</w:t>
            </w:r>
          </w:p>
        </w:tc>
        <w:tc>
          <w:tcPr>
            <w:tcW w:type="dxa" w:w="1008"/>
            <w:shd w:fill="DCE6F1" w:val="clear"/>
          </w:tcPr>
          <w:p>
            <w:r>
              <w:rPr>
                <w:b/>
                <w:bCs/>
                <w:sz w:val="18"/>
                <w:szCs w:val="18"/>
              </w:rPr>
              <w:t xml:space="preserve">Likelihood</w:t>
            </w:r>
          </w:p>
        </w:tc>
        <w:tc>
          <w:tcPr>
            <w:tcW w:type="dxa" w:w="706"/>
            <w:shd w:fill="DCE6F1" w:val="clear"/>
          </w:tcPr>
          <w:p>
            <w:r>
              <w:rPr>
                <w:b/>
                <w:bCs/>
                <w:sz w:val="18"/>
                <w:szCs w:val="18"/>
              </w:rPr>
              <w:t xml:space="preserve">Impact</w:t>
            </w:r>
          </w:p>
        </w:tc>
        <w:tc>
          <w:tcPr>
            <w:tcW w:type="dxa" w:w="4838"/>
            <w:shd w:fill="DCE6F1" w:val="clear"/>
          </w:tcPr>
          <w:p>
            <w:r>
              <w:rPr>
                <w:b/>
                <w:bCs/>
                <w:sz w:val="18"/>
                <w:szCs w:val="18"/>
              </w:rPr>
              <w:t xml:space="preserve">Mitigation in the design</w:t>
            </w:r>
          </w:p>
        </w:tc>
        <w:tc>
          <w:tcPr>
            <w:tcW w:type="dxa" w:w="1411"/>
            <w:shd w:fill="DCE6F1" w:val="clear"/>
          </w:tcPr>
          <w:p>
            <w:r>
              <w:rPr>
                <w:b/>
                <w:bCs/>
                <w:sz w:val="18"/>
                <w:szCs w:val="18"/>
              </w:rPr>
              <w:t xml:space="preserve">Owner</w:t>
            </w:r>
          </w:p>
        </w:tc>
      </w:tr>
      <w:tr>
        <w:tc>
          <w:tcPr>
            <w:tcW w:type="dxa" w:w="504"/>
            <w:shd w:fill="F2DCDB" w:val="clear"/>
          </w:tcPr>
          <w:p>
            <w:r>
              <w:rPr>
                <w:b/>
                <w:bCs/>
                <w:sz w:val="18"/>
                <w:szCs w:val="18"/>
              </w:rPr>
              <w:t xml:space="preserve">R-01</w:t>
            </w:r>
          </w:p>
        </w:tc>
        <w:tc>
          <w:tcPr>
            <w:tcW w:type="dxa" w:w="1613"/>
            <w:shd w:fill="F2DCDB" w:val="clear"/>
          </w:tcPr>
          <w:p>
            <w:r>
              <w:rPr>
                <w:b w:val="false"/>
                <w:bCs w:val="false"/>
                <w:sz w:val="18"/>
                <w:szCs w:val="18"/>
              </w:rPr>
              <w:t xml:space="preserve">The system answers confidently and incorrectly</w:t>
            </w:r>
          </w:p>
        </w:tc>
        <w:tc>
          <w:tcPr>
            <w:tcW w:type="dxa" w:w="1008"/>
            <w:shd w:fill="F2DCDB" w:val="clear"/>
          </w:tcPr>
          <w:p>
            <w:r>
              <w:rPr>
                <w:b w:val="false"/>
                <w:bCs w:val="false"/>
                <w:sz w:val="18"/>
                <w:szCs w:val="18"/>
              </w:rPr>
              <w:t xml:space="preserve">Medium</w:t>
            </w:r>
          </w:p>
        </w:tc>
        <w:tc>
          <w:tcPr>
            <w:tcW w:type="dxa" w:w="706"/>
            <w:shd w:fill="F2DCDB" w:val="clear"/>
          </w:tcPr>
          <w:p>
            <w:r>
              <w:rPr>
                <w:b w:val="false"/>
                <w:bCs w:val="false"/>
                <w:sz w:val="18"/>
                <w:szCs w:val="18"/>
              </w:rPr>
              <w:t xml:space="preserve">High</w:t>
            </w:r>
          </w:p>
        </w:tc>
        <w:tc>
          <w:tcPr>
            <w:tcW w:type="dxa" w:w="4838"/>
            <w:shd w:fill="F2DCDB" w:val="clear"/>
          </w:tcPr>
          <w:p>
            <w:r>
              <w:rPr>
                <w:b w:val="false"/>
                <w:bCs w:val="false"/>
                <w:sz w:val="18"/>
                <w:szCs w:val="18"/>
              </w:rPr>
              <w:t xml:space="preserve">Four controls in series. Retrieval returns nothing rather than a weak match (src/retrieve.py, threshold 0.12). Generation must cite a retrieved passage or set answer_possible=false (src/generate.py). Without model access the generator is EXTRACTIVE — it quotes reviewed articles verbatim and cannot invent. The guardrail blocks any claim with no citation (src/guardrails.py, ungrounded_answer). Measured: citation accuracy 92.7%, zero fabricated citations across 580 tickets.</w:t>
            </w:r>
          </w:p>
        </w:tc>
        <w:tc>
          <w:tcPr>
            <w:tcW w:type="dxa" w:w="1411"/>
            <w:shd w:fill="F2DCDB" w:val="clear"/>
          </w:tcPr>
          <w:p>
            <w:r>
              <w:rPr>
                <w:b w:val="false"/>
                <w:bCs w:val="false"/>
                <w:sz w:val="18"/>
                <w:szCs w:val="18"/>
              </w:rPr>
              <w:t xml:space="preserve">Head of Support</w:t>
            </w:r>
          </w:p>
        </w:tc>
      </w:tr>
      <w:tr>
        <w:tc>
          <w:tcPr>
            <w:tcW w:type="dxa" w:w="504"/>
            <w:shd w:fill="F2DCDB" w:val="clear"/>
          </w:tcPr>
          <w:p>
            <w:r>
              <w:rPr>
                <w:b/>
                <w:bCs/>
                <w:sz w:val="18"/>
                <w:szCs w:val="18"/>
              </w:rPr>
              <w:t xml:space="preserve">R-02</w:t>
            </w:r>
          </w:p>
        </w:tc>
        <w:tc>
          <w:tcPr>
            <w:tcW w:type="dxa" w:w="1613"/>
            <w:shd w:fill="F2DCDB" w:val="clear"/>
          </w:tcPr>
          <w:p>
            <w:r>
              <w:rPr>
                <w:b w:val="false"/>
                <w:bCs w:val="false"/>
                <w:sz w:val="18"/>
                <w:szCs w:val="18"/>
              </w:rPr>
              <w:t xml:space="preserve">Private data appears in an outbound response</w:t>
            </w:r>
          </w:p>
        </w:tc>
        <w:tc>
          <w:tcPr>
            <w:tcW w:type="dxa" w:w="1008"/>
            <w:shd w:fill="F2DCDB" w:val="clear"/>
          </w:tcPr>
          <w:p>
            <w:r>
              <w:rPr>
                <w:b w:val="false"/>
                <w:bCs w:val="false"/>
                <w:sz w:val="18"/>
                <w:szCs w:val="18"/>
              </w:rPr>
              <w:t xml:space="preserve">Low</w:t>
            </w:r>
          </w:p>
        </w:tc>
        <w:tc>
          <w:tcPr>
            <w:tcW w:type="dxa" w:w="706"/>
            <w:shd w:fill="F2DCDB" w:val="clear"/>
          </w:tcPr>
          <w:p>
            <w:r>
              <w:rPr>
                <w:b w:val="false"/>
                <w:bCs w:val="false"/>
                <w:sz w:val="18"/>
                <w:szCs w:val="18"/>
              </w:rPr>
              <w:t xml:space="preserve">High</w:t>
            </w:r>
          </w:p>
        </w:tc>
        <w:tc>
          <w:tcPr>
            <w:tcW w:type="dxa" w:w="4838"/>
            <w:shd w:fill="F2DCDB" w:val="clear"/>
          </w:tcPr>
          <w:p>
            <w:r>
              <w:rPr>
                <w:b w:val="false"/>
                <w:bCs w:val="false"/>
                <w:sz w:val="18"/>
                <w:szCs w:val="18"/>
              </w:rPr>
              <w:t xml:space="preserve">A deterministic scan of every outbound reply for customer IDs, email addresses, API keys, bearer tokens, card numbers and IP addresses (src/guardrails.py, _PII_PATTERNS). Blocks, never redacts and sends. Separately, the customer's name is deliberately NOT a field on the normalised ticket object (src/ingest.py), so it cannot reach a prompt by simply being present on the object everything else passes around. Measured: zero private-data detections in the gate run.</w:t>
            </w:r>
          </w:p>
        </w:tc>
        <w:tc>
          <w:tcPr>
            <w:tcW w:type="dxa" w:w="1411"/>
            <w:shd w:fill="F2DCDB" w:val="clear"/>
          </w:tcPr>
          <w:p>
            <w:r>
              <w:rPr>
                <w:b w:val="false"/>
                <w:bCs w:val="false"/>
                <w:sz w:val="18"/>
                <w:szCs w:val="18"/>
              </w:rPr>
              <w:t xml:space="preserve">Head of Support</w:t>
            </w:r>
          </w:p>
        </w:tc>
      </w:tr>
      <w:tr>
        <w:tc>
          <w:tcPr>
            <w:tcW w:type="dxa" w:w="504"/>
            <w:shd w:fill="F2DCDB" w:val="clear"/>
          </w:tcPr>
          <w:p>
            <w:r>
              <w:rPr>
                <w:b/>
                <w:bCs/>
                <w:sz w:val="18"/>
                <w:szCs w:val="18"/>
              </w:rPr>
              <w:t xml:space="preserve">R-03</w:t>
            </w:r>
          </w:p>
        </w:tc>
        <w:tc>
          <w:tcPr>
            <w:tcW w:type="dxa" w:w="1613"/>
            <w:shd w:fill="F2DCDB" w:val="clear"/>
          </w:tcPr>
          <w:p>
            <w:r>
              <w:rPr>
                <w:b w:val="false"/>
                <w:bCs w:val="false"/>
                <w:sz w:val="18"/>
                <w:szCs w:val="18"/>
              </w:rPr>
              <w:t xml:space="preserve">A customer's input is treated as an instruction</w:t>
            </w:r>
          </w:p>
        </w:tc>
        <w:tc>
          <w:tcPr>
            <w:tcW w:type="dxa" w:w="1008"/>
            <w:shd w:fill="F2DCDB" w:val="clear"/>
          </w:tcPr>
          <w:p>
            <w:r>
              <w:rPr>
                <w:b w:val="false"/>
                <w:bCs w:val="false"/>
                <w:sz w:val="18"/>
                <w:szCs w:val="18"/>
              </w:rPr>
              <w:t xml:space="preserve">Medium</w:t>
            </w:r>
          </w:p>
        </w:tc>
        <w:tc>
          <w:tcPr>
            <w:tcW w:type="dxa" w:w="706"/>
            <w:shd w:fill="F2DCDB" w:val="clear"/>
          </w:tcPr>
          <w:p>
            <w:r>
              <w:rPr>
                <w:b w:val="false"/>
                <w:bCs w:val="false"/>
                <w:sz w:val="18"/>
                <w:szCs w:val="18"/>
              </w:rPr>
              <w:t xml:space="preserve">High</w:t>
            </w:r>
          </w:p>
        </w:tc>
        <w:tc>
          <w:tcPr>
            <w:tcW w:type="dxa" w:w="4838"/>
            <w:shd w:fill="F2DCDB" w:val="clear"/>
          </w:tcPr>
          <w:p>
            <w:r>
              <w:rPr>
                <w:b w:val="false"/>
                <w:bCs w:val="false"/>
                <w:sz w:val="18"/>
                <w:szCs w:val="18"/>
              </w:rPr>
              <w:t xml:space="preserve">Every build prompt delimits ticket text inside tags and declares it untrusted data rather than instruction (prompts/build/). More importantly the never-automate list is enforced in CODE, not in a prompt (src/classify.py, NEVER_AUTOMATE), so no injected instruction can widen it. Tested: a ticket instructing the system to issue a refund and declare the issue fixed produces neither.</w:t>
            </w:r>
          </w:p>
        </w:tc>
        <w:tc>
          <w:tcPr>
            <w:tcW w:type="dxa" w:w="1411"/>
            <w:shd w:fill="F2DCDB" w:val="clear"/>
          </w:tcPr>
          <w:p>
            <w:r>
              <w:rPr>
                <w:b w:val="false"/>
                <w:bCs w:val="false"/>
                <w:sz w:val="18"/>
                <w:szCs w:val="18"/>
              </w:rPr>
              <w:t xml:space="preserve">Rajarajan Venkatesan</w:t>
            </w:r>
          </w:p>
        </w:tc>
      </w:tr>
      <w:tr>
        <w:tc>
          <w:tcPr>
            <w:tcW w:type="dxa" w:w="504"/>
            <w:shd w:fill="FDE9D9" w:val="clear"/>
          </w:tcPr>
          <w:p>
            <w:r>
              <w:rPr>
                <w:b/>
                <w:bCs/>
                <w:sz w:val="18"/>
                <w:szCs w:val="18"/>
              </w:rPr>
              <w:t xml:space="preserve">R-04</w:t>
            </w:r>
          </w:p>
        </w:tc>
        <w:tc>
          <w:tcPr>
            <w:tcW w:type="dxa" w:w="1613"/>
            <w:shd w:fill="FDE9D9" w:val="clear"/>
          </w:tcPr>
          <w:p>
            <w:r>
              <w:rPr>
                <w:b w:val="false"/>
                <w:bCs w:val="false"/>
                <w:sz w:val="18"/>
                <w:szCs w:val="18"/>
              </w:rPr>
              <w:t xml:space="preserve">Some customer groups receive worse answers</w:t>
            </w:r>
          </w:p>
        </w:tc>
        <w:tc>
          <w:tcPr>
            <w:tcW w:type="dxa" w:w="1008"/>
            <w:shd w:fill="FDE9D9" w:val="clear"/>
          </w:tcPr>
          <w:p>
            <w:r>
              <w:rPr>
                <w:b w:val="false"/>
                <w:bCs w:val="false"/>
                <w:sz w:val="18"/>
                <w:szCs w:val="18"/>
              </w:rPr>
              <w:t xml:space="preserve">High</w:t>
            </w:r>
          </w:p>
        </w:tc>
        <w:tc>
          <w:tcPr>
            <w:tcW w:type="dxa" w:w="706"/>
            <w:shd w:fill="FDE9D9" w:val="clear"/>
          </w:tcPr>
          <w:p>
            <w:r>
              <w:rPr>
                <w:b w:val="false"/>
                <w:bCs w:val="false"/>
                <w:sz w:val="18"/>
                <w:szCs w:val="18"/>
              </w:rPr>
              <w:t xml:space="preserve">Medium</w:t>
            </w:r>
          </w:p>
        </w:tc>
        <w:tc>
          <w:tcPr>
            <w:tcW w:type="dxa" w:w="4838"/>
            <w:shd w:fill="FDE9D9" w:val="clear"/>
          </w:tcPr>
          <w:p>
            <w:r>
              <w:rPr>
                <w:b w:val="false"/>
                <w:bCs w:val="false"/>
                <w:sz w:val="18"/>
                <w:szCs w:val="18"/>
              </w:rPr>
              <w:t xml:space="preserve">Not preventable by a control; made visible instead. Every run segments outcomes by tier, region and language fluency and reports them (scripts/fairness_audit.py). Three real gaps were found and are reported in Section 3 rather than smoothed away. The mitigation is measurement and disclosure, because a gap that is hidden cannot be addressed.</w:t>
            </w:r>
          </w:p>
        </w:tc>
        <w:tc>
          <w:tcPr>
            <w:tcW w:type="dxa" w:w="1411"/>
            <w:shd w:fill="FDE9D9" w:val="clear"/>
          </w:tcPr>
          <w:p>
            <w:r>
              <w:rPr>
                <w:b w:val="false"/>
                <w:bCs w:val="false"/>
                <w:sz w:val="18"/>
                <w:szCs w:val="18"/>
              </w:rPr>
              <w:t xml:space="preserve">Head of Support</w:t>
            </w:r>
          </w:p>
        </w:tc>
      </w:tr>
      <w:tr>
        <w:tc>
          <w:tcPr>
            <w:tcW w:type="dxa" w:w="504"/>
            <w:shd w:fill="FDE9D9" w:val="clear"/>
          </w:tcPr>
          <w:p>
            <w:r>
              <w:rPr>
                <w:b/>
                <w:bCs/>
                <w:sz w:val="18"/>
                <w:szCs w:val="18"/>
              </w:rPr>
              <w:t xml:space="preserve">R-05</w:t>
            </w:r>
          </w:p>
        </w:tc>
        <w:tc>
          <w:tcPr>
            <w:tcW w:type="dxa" w:w="1613"/>
            <w:shd w:fill="FDE9D9" w:val="clear"/>
          </w:tcPr>
          <w:p>
            <w:r>
              <w:rPr>
                <w:b w:val="false"/>
                <w:bCs w:val="false"/>
                <w:sz w:val="18"/>
                <w:szCs w:val="18"/>
              </w:rPr>
              <w:t xml:space="preserve">The documentation the system relies on goes stale</w:t>
            </w:r>
          </w:p>
        </w:tc>
        <w:tc>
          <w:tcPr>
            <w:tcW w:type="dxa" w:w="1008"/>
            <w:shd w:fill="FDE9D9" w:val="clear"/>
          </w:tcPr>
          <w:p>
            <w:r>
              <w:rPr>
                <w:b w:val="false"/>
                <w:bCs w:val="false"/>
                <w:sz w:val="18"/>
                <w:szCs w:val="18"/>
              </w:rPr>
              <w:t xml:space="preserve">Medium</w:t>
            </w:r>
          </w:p>
        </w:tc>
        <w:tc>
          <w:tcPr>
            <w:tcW w:type="dxa" w:w="706"/>
            <w:shd w:fill="FDE9D9" w:val="clear"/>
          </w:tcPr>
          <w:p>
            <w:r>
              <w:rPr>
                <w:b w:val="false"/>
                <w:bCs w:val="false"/>
                <w:sz w:val="18"/>
                <w:szCs w:val="18"/>
              </w:rPr>
              <w:t xml:space="preserve">Medium</w:t>
            </w:r>
          </w:p>
        </w:tc>
        <w:tc>
          <w:tcPr>
            <w:tcW w:type="dxa" w:w="4838"/>
            <w:shd w:fill="FDE9D9" w:val="clear"/>
          </w:tcPr>
          <w:p>
            <w:r>
              <w:rPr>
                <w:b w:val="false"/>
                <w:bCs w:val="false"/>
                <w:sz w:val="18"/>
                <w:szCs w:val="18"/>
              </w:rPr>
              <w:t xml:space="preserve">Every chunk carries last_reviewed_days_ago from its source article (src/corpus.py), and every answer cites the document it came from, so a wrong answer can be traced to either a wrong article or a misread one — which need fixing in different places. This was the technical writer's explicit request during discovery.</w:t>
            </w:r>
          </w:p>
        </w:tc>
        <w:tc>
          <w:tcPr>
            <w:tcW w:type="dxa" w:w="1411"/>
            <w:shd w:fill="FDE9D9" w:val="clear"/>
          </w:tcPr>
          <w:p>
            <w:r>
              <w:rPr>
                <w:b w:val="false"/>
                <w:bCs w:val="false"/>
                <w:sz w:val="18"/>
                <w:szCs w:val="18"/>
              </w:rPr>
              <w:t xml:space="preserve">Technical Writer (Ines Varga)</w:t>
            </w:r>
          </w:p>
        </w:tc>
      </w:tr>
      <w:tr>
        <w:tc>
          <w:tcPr>
            <w:tcW w:type="dxa" w:w="504"/>
            <w:shd w:fill="EAF1DD" w:val="clear"/>
          </w:tcPr>
          <w:p>
            <w:r>
              <w:rPr>
                <w:b/>
                <w:bCs/>
                <w:sz w:val="18"/>
                <w:szCs w:val="18"/>
              </w:rPr>
              <w:t xml:space="preserve">R-06</w:t>
            </w:r>
          </w:p>
        </w:tc>
        <w:tc>
          <w:tcPr>
            <w:tcW w:type="dxa" w:w="1613"/>
            <w:shd w:fill="EAF1DD" w:val="clear"/>
          </w:tcPr>
          <w:p>
            <w:r>
              <w:rPr>
                <w:b w:val="false"/>
                <w:bCs w:val="false"/>
                <w:sz w:val="18"/>
                <w:szCs w:val="18"/>
              </w:rPr>
              <w:t xml:space="preserve">The model provider becomes unavailable</w:t>
            </w:r>
          </w:p>
        </w:tc>
        <w:tc>
          <w:tcPr>
            <w:tcW w:type="dxa" w:w="1008"/>
            <w:shd w:fill="EAF1DD" w:val="clear"/>
          </w:tcPr>
          <w:p>
            <w:r>
              <w:rPr>
                <w:b w:val="false"/>
                <w:bCs w:val="false"/>
                <w:sz w:val="18"/>
                <w:szCs w:val="18"/>
              </w:rPr>
              <w:t xml:space="preserve">High — it occurred during this evaluation</w:t>
            </w:r>
          </w:p>
        </w:tc>
        <w:tc>
          <w:tcPr>
            <w:tcW w:type="dxa" w:w="706"/>
            <w:shd w:fill="EAF1DD" w:val="clear"/>
          </w:tcPr>
          <w:p>
            <w:r>
              <w:rPr>
                <w:b w:val="false"/>
                <w:bCs w:val="false"/>
                <w:sz w:val="18"/>
                <w:szCs w:val="18"/>
              </w:rPr>
              <w:t xml:space="preserve">Low</w:t>
            </w:r>
          </w:p>
        </w:tc>
        <w:tc>
          <w:tcPr>
            <w:tcW w:type="dxa" w:w="4838"/>
            <w:shd w:fill="EAF1DD" w:val="clear"/>
          </w:tcPr>
          <w:p>
            <w:r>
              <w:rPr>
                <w:b w:val="false"/>
                <w:bCs w:val="false"/>
                <w:sz w:val="18"/>
                <w:szCs w:val="18"/>
              </w:rPr>
              <w:t xml:space="preserve">Retry with exponential backoff and jitter, then a circuit breaker after three consecutive failures, then degradation to the deterministic path (src/model_client.py). Guardrails run without any model call at all, so blocking survives an outage. Observed, not simulated: the provider was unavailable throughout the gate run, and all 580 tickets completed with zero errors.</w:t>
            </w:r>
          </w:p>
        </w:tc>
        <w:tc>
          <w:tcPr>
            <w:tcW w:type="dxa" w:w="1411"/>
            <w:shd w:fill="EAF1DD" w:val="clear"/>
          </w:tcPr>
          <w:p>
            <w:r>
              <w:rPr>
                <w:b w:val="false"/>
                <w:bCs w:val="false"/>
                <w:sz w:val="18"/>
                <w:szCs w:val="18"/>
              </w:rPr>
              <w:t xml:space="preserve">Rajarajan Venkatesan</w:t>
            </w:r>
          </w:p>
        </w:tc>
      </w:tr>
      <w:tr>
        <w:tc>
          <w:tcPr>
            <w:tcW w:type="dxa" w:w="504"/>
            <w:shd w:fill="EAF1DD" w:val="clear"/>
          </w:tcPr>
          <w:p>
            <w:r>
              <w:rPr>
                <w:b/>
                <w:bCs/>
                <w:sz w:val="18"/>
                <w:szCs w:val="18"/>
              </w:rPr>
              <w:t xml:space="preserve">R-07</w:t>
            </w:r>
          </w:p>
        </w:tc>
        <w:tc>
          <w:tcPr>
            <w:tcW w:type="dxa" w:w="1613"/>
            <w:shd w:fill="EAF1DD" w:val="clear"/>
          </w:tcPr>
          <w:p>
            <w:r>
              <w:rPr>
                <w:b w:val="false"/>
                <w:bCs w:val="false"/>
                <w:sz w:val="18"/>
                <w:szCs w:val="18"/>
              </w:rPr>
              <w:t xml:space="preserve">Latency degrades under load</w:t>
            </w:r>
          </w:p>
        </w:tc>
        <w:tc>
          <w:tcPr>
            <w:tcW w:type="dxa" w:w="1008"/>
            <w:shd w:fill="EAF1DD" w:val="clear"/>
          </w:tcPr>
          <w:p>
            <w:r>
              <w:rPr>
                <w:b w:val="false"/>
                <w:bCs w:val="false"/>
                <w:sz w:val="18"/>
                <w:szCs w:val="18"/>
              </w:rPr>
              <w:t xml:space="preserve">Low</w:t>
            </w:r>
          </w:p>
        </w:tc>
        <w:tc>
          <w:tcPr>
            <w:tcW w:type="dxa" w:w="706"/>
            <w:shd w:fill="EAF1DD" w:val="clear"/>
          </w:tcPr>
          <w:p>
            <w:r>
              <w:rPr>
                <w:b w:val="false"/>
                <w:bCs w:val="false"/>
                <w:sz w:val="18"/>
                <w:szCs w:val="18"/>
              </w:rPr>
              <w:t xml:space="preserve">Low</w:t>
            </w:r>
          </w:p>
        </w:tc>
        <w:tc>
          <w:tcPr>
            <w:tcW w:type="dxa" w:w="4838"/>
            <w:shd w:fill="EAF1DD" w:val="clear"/>
          </w:tcPr>
          <w:p>
            <w:r>
              <w:rPr>
                <w:b w:val="false"/>
                <w:bCs w:val="false"/>
                <w:sz w:val="18"/>
                <w:szCs w:val="18"/>
              </w:rPr>
              <w:t xml:space="preserve">Retrieval is an exhaustive scan of 145 passages in pure Python, measured at 2.7 seconds for 580 tickets end to end. Request pacing bounds the live-model path to the provider's sustained rate rather than bursting into a rate limit. Latency at the median and 95th percentile is reported in every run.</w:t>
            </w:r>
          </w:p>
        </w:tc>
        <w:tc>
          <w:tcPr>
            <w:tcW w:type="dxa" w:w="1411"/>
            <w:shd w:fill="EAF1DD" w:val="clear"/>
          </w:tcPr>
          <w:p>
            <w:r>
              <w:rPr>
                <w:b w:val="false"/>
                <w:bCs w:val="false"/>
                <w:sz w:val="18"/>
                <w:szCs w:val="18"/>
              </w:rPr>
              <w:t xml:space="preserve">Rajarajan Venkatesan</w:t>
            </w:r>
          </w:p>
        </w:tc>
      </w:tr>
      <w:tr>
        <w:tc>
          <w:tcPr>
            <w:tcW w:type="dxa" w:w="504"/>
            <w:shd w:fill="FDE9D9" w:val="clear"/>
          </w:tcPr>
          <w:p>
            <w:r>
              <w:rPr>
                <w:b/>
                <w:bCs/>
                <w:sz w:val="18"/>
                <w:szCs w:val="18"/>
              </w:rPr>
              <w:t xml:space="preserve">R-08</w:t>
            </w:r>
          </w:p>
        </w:tc>
        <w:tc>
          <w:tcPr>
            <w:tcW w:type="dxa" w:w="1613"/>
            <w:shd w:fill="FDE9D9" w:val="clear"/>
          </w:tcPr>
          <w:p>
            <w:r>
              <w:rPr>
                <w:b w:val="false"/>
                <w:bCs w:val="false"/>
                <w:sz w:val="18"/>
                <w:szCs w:val="18"/>
              </w:rPr>
              <w:t xml:space="preserve">Costs rise unexpectedly with volume</w:t>
            </w:r>
          </w:p>
        </w:tc>
        <w:tc>
          <w:tcPr>
            <w:tcW w:type="dxa" w:w="1008"/>
            <w:shd w:fill="FDE9D9" w:val="clear"/>
          </w:tcPr>
          <w:p>
            <w:r>
              <w:rPr>
                <w:b w:val="false"/>
                <w:bCs w:val="false"/>
                <w:sz w:val="18"/>
                <w:szCs w:val="18"/>
              </w:rPr>
              <w:t xml:space="preserve">Low</w:t>
            </w:r>
          </w:p>
        </w:tc>
        <w:tc>
          <w:tcPr>
            <w:tcW w:type="dxa" w:w="706"/>
            <w:shd w:fill="FDE9D9" w:val="clear"/>
          </w:tcPr>
          <w:p>
            <w:r>
              <w:rPr>
                <w:b w:val="false"/>
                <w:bCs w:val="false"/>
                <w:sz w:val="18"/>
                <w:szCs w:val="18"/>
              </w:rPr>
              <w:t xml:space="preserve">Medium</w:t>
            </w:r>
          </w:p>
        </w:tc>
        <w:tc>
          <w:tcPr>
            <w:tcW w:type="dxa" w:w="4838"/>
            <w:shd w:fill="FDE9D9" w:val="clear"/>
          </w:tcPr>
          <w:p>
            <w:r>
              <w:rPr>
                <w:b w:val="false"/>
                <w:bCs w:val="false"/>
                <w:sz w:val="18"/>
                <w:szCs w:val="18"/>
              </w:rPr>
              <w:t xml:space="preserve">Responses are cached on disk by a hash of the exact request, so a re-run costs nothing (src/model_client.py). The deterministic path costs nothing at all. Pacing bounds the maximum call rate, which bounds spend by construction rather than by alerting after the fact.</w:t>
            </w:r>
          </w:p>
        </w:tc>
        <w:tc>
          <w:tcPr>
            <w:tcW w:type="dxa" w:w="1411"/>
            <w:shd w:fill="FDE9D9" w:val="clear"/>
          </w:tcPr>
          <w:p>
            <w:r>
              <w:rPr>
                <w:b w:val="false"/>
                <w:bCs w:val="false"/>
                <w:sz w:val="18"/>
                <w:szCs w:val="18"/>
              </w:rPr>
              <w:t xml:space="preserve">Head of Support</w:t>
            </w:r>
          </w:p>
        </w:tc>
      </w:tr>
      <w:tr>
        <w:tc>
          <w:tcPr>
            <w:tcW w:type="dxa" w:w="504"/>
            <w:shd w:fill="F2DCDB" w:val="clear"/>
          </w:tcPr>
          <w:p>
            <w:r>
              <w:rPr>
                <w:b/>
                <w:bCs/>
                <w:sz w:val="18"/>
                <w:szCs w:val="18"/>
              </w:rPr>
              <w:t xml:space="preserve">R-09</w:t>
            </w:r>
          </w:p>
        </w:tc>
        <w:tc>
          <w:tcPr>
            <w:tcW w:type="dxa" w:w="1613"/>
            <w:shd w:fill="F2DCDB" w:val="clear"/>
          </w:tcPr>
          <w:p>
            <w:r>
              <w:rPr>
                <w:b w:val="false"/>
                <w:bCs w:val="false"/>
                <w:sz w:val="18"/>
                <w:szCs w:val="18"/>
              </w:rPr>
              <w:t xml:space="preserve">A defect reaches customers and cannot be stopped quickly</w:t>
            </w:r>
          </w:p>
        </w:tc>
        <w:tc>
          <w:tcPr>
            <w:tcW w:type="dxa" w:w="1008"/>
            <w:shd w:fill="F2DCDB" w:val="clear"/>
          </w:tcPr>
          <w:p>
            <w:r>
              <w:rPr>
                <w:b w:val="false"/>
                <w:bCs w:val="false"/>
                <w:sz w:val="18"/>
                <w:szCs w:val="18"/>
              </w:rPr>
              <w:t xml:space="preserve">Medium</w:t>
            </w:r>
          </w:p>
        </w:tc>
        <w:tc>
          <w:tcPr>
            <w:tcW w:type="dxa" w:w="706"/>
            <w:shd w:fill="F2DCDB" w:val="clear"/>
          </w:tcPr>
          <w:p>
            <w:r>
              <w:rPr>
                <w:b w:val="false"/>
                <w:bCs w:val="false"/>
                <w:sz w:val="18"/>
                <w:szCs w:val="18"/>
              </w:rPr>
              <w:t xml:space="preserve">High</w:t>
            </w:r>
          </w:p>
        </w:tc>
        <w:tc>
          <w:tcPr>
            <w:tcW w:type="dxa" w:w="4838"/>
            <w:shd w:fill="F2DCDB" w:val="clear"/>
          </w:tcPr>
          <w:p>
            <w:r>
              <w:rPr>
                <w:b w:val="false"/>
                <w:bCs w:val="false"/>
                <w:sz w:val="18"/>
                <w:szCs w:val="18"/>
              </w:rPr>
              <w:t xml:space="preserve">A kill switch (src/kill_switch.py) disables automatic answering immediately, checked per ticket so it stops a run already in progress. Requires no deployment and no engineer. Fails closed: if its state cannot be read, automatic answering is disabled. Added in v2.0 — version one had no answer to this risk.</w:t>
            </w:r>
          </w:p>
        </w:tc>
        <w:tc>
          <w:tcPr>
            <w:tcW w:type="dxa" w:w="1411"/>
            <w:shd w:fill="F2DCDB" w:val="clear"/>
          </w:tcPr>
          <w:p>
            <w:r>
              <w:rPr>
                <w:b w:val="false"/>
                <w:bCs w:val="false"/>
                <w:sz w:val="18"/>
                <w:szCs w:val="18"/>
              </w:rPr>
              <w:t xml:space="preserve">Head of Support</w:t>
            </w:r>
          </w:p>
        </w:tc>
      </w:tr>
    </w:tbl>
    <w:p>
      <w:pPr>
        <w:pStyle w:val="Heading1"/>
        <w:spacing w:after="150" w:before="300"/>
      </w:pPr>
      <w:r>
        <w:t xml:space="preserve">3. Fairness audit</w:t>
      </w:r>
    </w:p>
    <w:p>
      <w:pPr>
        <w:spacing w:after="160"/>
      </w:pPr>
      <w:r>
        <w:rPr>
          <w:b w:val="false"/>
          <w:bCs w:val="false"/>
          <w:i/>
          <w:iCs/>
          <w:sz w:val="20"/>
          <w:szCs w:val="20"/>
        </w:rPr>
        <w:t xml:space="preserve">Measured across the full 580-ticket gate run. Resolution rate is the automated answer rate; quality score is citation rate on answered tickets.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907"/>
        <w:gridCol w:w="1411"/>
        <w:gridCol w:w="1310"/>
        <w:gridCol w:w="1512"/>
        <w:gridCol w:w="2923"/>
      </w:tblGrid>
      <w:tr>
        <w:trPr>
          <w:tblHeader/>
        </w:trPr>
        <w:tc>
          <w:tcPr>
            <w:tcW w:type="dxa" w:w="2016"/>
            <w:shd w:fill="DCE6F1" w:val="clear"/>
          </w:tcPr>
          <w:p>
            <w:r>
              <w:rPr>
                <w:b/>
                <w:bCs/>
                <w:sz w:val="18"/>
                <w:szCs w:val="18"/>
              </w:rPr>
              <w:t xml:space="preserve">Segment</w:t>
            </w:r>
          </w:p>
        </w:tc>
        <w:tc>
          <w:tcPr>
            <w:tcW w:type="dxa" w:w="907"/>
            <w:shd w:fill="DCE6F1" w:val="clear"/>
          </w:tcPr>
          <w:p>
            <w:r>
              <w:rPr>
                <w:b/>
                <w:bCs/>
                <w:sz w:val="18"/>
                <w:szCs w:val="18"/>
              </w:rPr>
              <w:t xml:space="preserve">Tickets</w:t>
            </w:r>
          </w:p>
        </w:tc>
        <w:tc>
          <w:tcPr>
            <w:tcW w:type="dxa" w:w="1411"/>
            <w:shd w:fill="DCE6F1" w:val="clear"/>
          </w:tcPr>
          <w:p>
            <w:r>
              <w:rPr>
                <w:b/>
                <w:bCs/>
                <w:sz w:val="18"/>
                <w:szCs w:val="18"/>
              </w:rPr>
              <w:t xml:space="preserve">Resolution rate</w:t>
            </w:r>
          </w:p>
        </w:tc>
        <w:tc>
          <w:tcPr>
            <w:tcW w:type="dxa" w:w="1310"/>
            <w:shd w:fill="DCE6F1" w:val="clear"/>
          </w:tcPr>
          <w:p>
            <w:r>
              <w:rPr>
                <w:b/>
                <w:bCs/>
                <w:sz w:val="18"/>
                <w:szCs w:val="18"/>
              </w:rPr>
              <w:t xml:space="preserve">Quality score</w:t>
            </w:r>
          </w:p>
        </w:tc>
        <w:tc>
          <w:tcPr>
            <w:tcW w:type="dxa" w:w="1512"/>
            <w:shd w:fill="DCE6F1" w:val="clear"/>
          </w:tcPr>
          <w:p>
            <w:r>
              <w:rPr>
                <w:b/>
                <w:bCs/>
                <w:sz w:val="18"/>
                <w:szCs w:val="18"/>
              </w:rPr>
              <w:t xml:space="preserve">Variation from best</w:t>
            </w:r>
          </w:p>
        </w:tc>
        <w:tc>
          <w:tcPr>
            <w:tcW w:type="dxa" w:w="2923"/>
            <w:shd w:fill="DCE6F1" w:val="clear"/>
          </w:tcPr>
          <w:p>
            <w:r>
              <w:rPr>
                <w:b/>
                <w:bCs/>
                <w:sz w:val="18"/>
                <w:szCs w:val="18"/>
              </w:rPr>
              <w:t xml:space="preserve">Explanation</w:t>
            </w:r>
          </w:p>
        </w:tc>
      </w:tr>
      <w:tr>
        <w:tc>
          <w:tcPr>
            <w:tcW w:type="dxa" w:w="2016"/>
          </w:tcPr>
          <w:p>
            <w:r>
              <w:rPr>
                <w:b/>
                <w:bCs/>
                <w:sz w:val="18"/>
                <w:szCs w:val="18"/>
              </w:rPr>
              <w:t xml:space="preserve">Enterprise</w:t>
            </w:r>
          </w:p>
        </w:tc>
        <w:tc>
          <w:tcPr>
            <w:tcW w:type="dxa" w:w="907"/>
          </w:tcPr>
          <w:p>
            <w:r>
              <w:rPr>
                <w:b w:val="false"/>
                <w:bCs w:val="false"/>
                <w:sz w:val="18"/>
                <w:szCs w:val="18"/>
              </w:rPr>
              <w:t xml:space="preserve">91</w:t>
            </w:r>
          </w:p>
        </w:tc>
        <w:tc>
          <w:tcPr>
            <w:tcW w:type="dxa" w:w="1411"/>
          </w:tcPr>
          <w:p>
            <w:r>
              <w:rPr>
                <w:b w:val="false"/>
                <w:bCs w:val="false"/>
                <w:sz w:val="18"/>
                <w:szCs w:val="18"/>
              </w:rPr>
              <w:t xml:space="preserve">69.2%</w:t>
            </w:r>
          </w:p>
        </w:tc>
        <w:tc>
          <w:tcPr>
            <w:tcW w:type="dxa" w:w="1310"/>
          </w:tcPr>
          <w:p>
            <w:r>
              <w:rPr>
                <w:b w:val="false"/>
                <w:bCs w:val="false"/>
                <w:sz w:val="18"/>
                <w:szCs w:val="18"/>
              </w:rPr>
              <w:t xml:space="preserve">97.8%</w:t>
            </w:r>
          </w:p>
        </w:tc>
        <w:tc>
          <w:tcPr>
            <w:tcW w:type="dxa" w:w="1512"/>
          </w:tcPr>
          <w:p>
            <w:r>
              <w:rPr>
                <w:b w:val="false"/>
                <w:bCs w:val="false"/>
                <w:sz w:val="18"/>
                <w:szCs w:val="18"/>
              </w:rPr>
              <w:t xml:space="preserve">best</w:t>
            </w:r>
          </w:p>
        </w:tc>
        <w:tc>
          <w:tcPr>
            <w:tcW w:type="dxa" w:w="2923"/>
          </w:tcPr>
          <w:p>
            <w:r>
              <w:rPr>
                <w:b w:val="false"/>
                <w:bCs w:val="false"/>
                <w:sz w:val="18"/>
                <w:szCs w:val="18"/>
              </w:rPr>
              <w:t xml:space="preserve">Highest automated answer rate of any tier</w:t>
            </w:r>
          </w:p>
        </w:tc>
      </w:tr>
      <w:tr>
        <w:tc>
          <w:tcPr>
            <w:tcW w:type="dxa" w:w="2016"/>
          </w:tcPr>
          <w:p>
            <w:r>
              <w:rPr>
                <w:b/>
                <w:bCs/>
                <w:sz w:val="18"/>
                <w:szCs w:val="18"/>
              </w:rPr>
              <w:t xml:space="preserve">Business</w:t>
            </w:r>
          </w:p>
        </w:tc>
        <w:tc>
          <w:tcPr>
            <w:tcW w:type="dxa" w:w="907"/>
          </w:tcPr>
          <w:p>
            <w:r>
              <w:rPr>
                <w:b w:val="false"/>
                <w:bCs w:val="false"/>
                <w:sz w:val="18"/>
                <w:szCs w:val="18"/>
              </w:rPr>
              <w:t xml:space="preserve">194</w:t>
            </w:r>
          </w:p>
        </w:tc>
        <w:tc>
          <w:tcPr>
            <w:tcW w:type="dxa" w:w="1411"/>
          </w:tcPr>
          <w:p>
            <w:r>
              <w:rPr>
                <w:b w:val="false"/>
                <w:bCs w:val="false"/>
                <w:sz w:val="18"/>
                <w:szCs w:val="18"/>
              </w:rPr>
              <w:t xml:space="preserve">65.0%</w:t>
            </w:r>
          </w:p>
        </w:tc>
        <w:tc>
          <w:tcPr>
            <w:tcW w:type="dxa" w:w="1310"/>
          </w:tcPr>
          <w:p>
            <w:r>
              <w:rPr>
                <w:b w:val="false"/>
                <w:bCs w:val="false"/>
                <w:sz w:val="18"/>
                <w:szCs w:val="18"/>
              </w:rPr>
              <w:t xml:space="preserve">95.4%</w:t>
            </w:r>
          </w:p>
        </w:tc>
        <w:tc>
          <w:tcPr>
            <w:tcW w:type="dxa" w:w="1512"/>
          </w:tcPr>
          <w:p>
            <w:r>
              <w:rPr>
                <w:b w:val="false"/>
                <w:bCs w:val="false"/>
                <w:sz w:val="18"/>
                <w:szCs w:val="18"/>
              </w:rPr>
              <w:t xml:space="preserve">-4.2 pts</w:t>
            </w:r>
          </w:p>
        </w:tc>
        <w:tc>
          <w:tcPr>
            <w:tcW w:type="dxa" w:w="2923"/>
          </w:tcPr>
          <w:p>
            <w:r>
              <w:rPr>
                <w:b w:val="false"/>
                <w:bCs w:val="false"/>
                <w:sz w:val="18"/>
                <w:szCs w:val="18"/>
              </w:rPr>
              <w:t xml:space="preserve">Within normal variation</w:t>
            </w:r>
          </w:p>
        </w:tc>
      </w:tr>
      <w:tr>
        <w:tc>
          <w:tcPr>
            <w:tcW w:type="dxa" w:w="2016"/>
          </w:tcPr>
          <w:p>
            <w:r>
              <w:rPr>
                <w:b/>
                <w:bCs/>
                <w:sz w:val="18"/>
                <w:szCs w:val="18"/>
              </w:rPr>
              <w:t xml:space="preserve">Standard</w:t>
            </w:r>
          </w:p>
        </w:tc>
        <w:tc>
          <w:tcPr>
            <w:tcW w:type="dxa" w:w="907"/>
          </w:tcPr>
          <w:p>
            <w:r>
              <w:rPr>
                <w:b w:val="false"/>
                <w:bCs w:val="false"/>
                <w:sz w:val="18"/>
                <w:szCs w:val="18"/>
              </w:rPr>
              <w:t xml:space="preserve">295</w:t>
            </w:r>
          </w:p>
        </w:tc>
        <w:tc>
          <w:tcPr>
            <w:tcW w:type="dxa" w:w="1411"/>
          </w:tcPr>
          <w:p>
            <w:r>
              <w:rPr>
                <w:b w:val="false"/>
                <w:bCs w:val="false"/>
                <w:sz w:val="18"/>
                <w:szCs w:val="18"/>
              </w:rPr>
              <w:t xml:space="preserve">61.0%</w:t>
            </w:r>
          </w:p>
        </w:tc>
        <w:tc>
          <w:tcPr>
            <w:tcW w:type="dxa" w:w="1310"/>
          </w:tcPr>
          <w:p>
            <w:r>
              <w:rPr>
                <w:b w:val="false"/>
                <w:bCs w:val="false"/>
                <w:sz w:val="18"/>
                <w:szCs w:val="18"/>
              </w:rPr>
              <w:t xml:space="preserve">94.2%</w:t>
            </w:r>
          </w:p>
        </w:tc>
        <w:tc>
          <w:tcPr>
            <w:tcW w:type="dxa" w:w="1512"/>
          </w:tcPr>
          <w:p>
            <w:r>
              <w:rPr>
                <w:b w:val="false"/>
                <w:bCs w:val="false"/>
                <w:sz w:val="18"/>
                <w:szCs w:val="18"/>
              </w:rPr>
              <w:t xml:space="preserve">-8.2 pts</w:t>
            </w:r>
          </w:p>
        </w:tc>
        <w:tc>
          <w:tcPr>
            <w:tcW w:type="dxa" w:w="2923"/>
          </w:tcPr>
          <w:p>
            <w:r>
              <w:rPr>
                <w:b w:val="false"/>
                <w:bCs w:val="false"/>
                <w:sz w:val="18"/>
                <w:szCs w:val="18"/>
              </w:rPr>
              <w:t xml:space="preserve">A material gap — see finding F-02 below</w:t>
            </w:r>
          </w:p>
        </w:tc>
      </w:tr>
      <w:tr>
        <w:tc>
          <w:tcPr>
            <w:tcW w:type="dxa" w:w="2016"/>
          </w:tcPr>
          <w:p>
            <w:r>
              <w:rPr>
                <w:b/>
                <w:bCs/>
                <w:sz w:val="18"/>
                <w:szCs w:val="18"/>
              </w:rPr>
              <w:t xml:space="preserve">Europe</w:t>
            </w:r>
          </w:p>
        </w:tc>
        <w:tc>
          <w:tcPr>
            <w:tcW w:type="dxa" w:w="907"/>
          </w:tcPr>
          <w:p>
            <w:r>
              <w:rPr>
                <w:b w:val="false"/>
                <w:bCs w:val="false"/>
                <w:sz w:val="18"/>
                <w:szCs w:val="18"/>
              </w:rPr>
              <w:t xml:space="preserve">176</w:t>
            </w:r>
          </w:p>
        </w:tc>
        <w:tc>
          <w:tcPr>
            <w:tcW w:type="dxa" w:w="1411"/>
          </w:tcPr>
          <w:p>
            <w:r>
              <w:rPr>
                <w:b w:val="false"/>
                <w:bCs w:val="false"/>
                <w:sz w:val="18"/>
                <w:szCs w:val="18"/>
              </w:rPr>
              <w:t xml:space="preserve">70.5%</w:t>
            </w:r>
          </w:p>
        </w:tc>
        <w:tc>
          <w:tcPr>
            <w:tcW w:type="dxa" w:w="1310"/>
          </w:tcPr>
          <w:p>
            <w:r>
              <w:rPr>
                <w:b w:val="false"/>
                <w:bCs w:val="false"/>
                <w:sz w:val="18"/>
                <w:szCs w:val="18"/>
              </w:rPr>
              <w:t xml:space="preserve">94.9%</w:t>
            </w:r>
          </w:p>
        </w:tc>
        <w:tc>
          <w:tcPr>
            <w:tcW w:type="dxa" w:w="1512"/>
          </w:tcPr>
          <w:p>
            <w:r>
              <w:rPr>
                <w:b w:val="false"/>
                <w:bCs w:val="false"/>
                <w:sz w:val="18"/>
                <w:szCs w:val="18"/>
              </w:rPr>
              <w:t xml:space="preserve">best</w:t>
            </w:r>
          </w:p>
        </w:tc>
        <w:tc>
          <w:tcPr>
            <w:tcW w:type="dxa" w:w="2923"/>
          </w:tcPr>
          <w:p>
            <w:r>
              <w:rPr>
                <w:b w:val="false"/>
                <w:bCs w:val="false"/>
                <w:sz w:val="18"/>
                <w:szCs w:val="18"/>
              </w:rPr>
              <w:t xml:space="preserve">Highest of any region</w:t>
            </w:r>
          </w:p>
        </w:tc>
      </w:tr>
      <w:tr>
        <w:tc>
          <w:tcPr>
            <w:tcW w:type="dxa" w:w="2016"/>
          </w:tcPr>
          <w:p>
            <w:r>
              <w:rPr>
                <w:b/>
                <w:bCs/>
                <w:sz w:val="18"/>
                <w:szCs w:val="18"/>
              </w:rPr>
              <w:t xml:space="preserve">Asia Pacific</w:t>
            </w:r>
          </w:p>
        </w:tc>
        <w:tc>
          <w:tcPr>
            <w:tcW w:type="dxa" w:w="907"/>
          </w:tcPr>
          <w:p>
            <w:r>
              <w:rPr>
                <w:b w:val="false"/>
                <w:bCs w:val="false"/>
                <w:sz w:val="18"/>
                <w:szCs w:val="18"/>
              </w:rPr>
              <w:t xml:space="preserve">140</w:t>
            </w:r>
          </w:p>
        </w:tc>
        <w:tc>
          <w:tcPr>
            <w:tcW w:type="dxa" w:w="1411"/>
          </w:tcPr>
          <w:p>
            <w:r>
              <w:rPr>
                <w:b w:val="false"/>
                <w:bCs w:val="false"/>
                <w:sz w:val="18"/>
                <w:szCs w:val="18"/>
              </w:rPr>
              <w:t xml:space="preserve">62.1%</w:t>
            </w:r>
          </w:p>
        </w:tc>
        <w:tc>
          <w:tcPr>
            <w:tcW w:type="dxa" w:w="1310"/>
          </w:tcPr>
          <w:p>
            <w:r>
              <w:rPr>
                <w:b w:val="false"/>
                <w:bCs w:val="false"/>
                <w:sz w:val="18"/>
                <w:szCs w:val="18"/>
              </w:rPr>
              <w:t xml:space="preserve">94.3%</w:t>
            </w:r>
          </w:p>
        </w:tc>
        <w:tc>
          <w:tcPr>
            <w:tcW w:type="dxa" w:w="1512"/>
          </w:tcPr>
          <w:p>
            <w:r>
              <w:rPr>
                <w:b w:val="false"/>
                <w:bCs w:val="false"/>
                <w:sz w:val="18"/>
                <w:szCs w:val="18"/>
              </w:rPr>
              <w:t xml:space="preserve">-8.4 pts</w:t>
            </w:r>
          </w:p>
        </w:tc>
        <w:tc>
          <w:tcPr>
            <w:tcW w:type="dxa" w:w="2923"/>
          </w:tcPr>
          <w:p>
            <w:r>
              <w:rPr>
                <w:b w:val="false"/>
                <w:bCs w:val="false"/>
                <w:sz w:val="18"/>
                <w:szCs w:val="18"/>
              </w:rPr>
              <w:t xml:space="preserve">See finding F-01</w:t>
            </w:r>
          </w:p>
        </w:tc>
      </w:tr>
      <w:tr>
        <w:tc>
          <w:tcPr>
            <w:tcW w:type="dxa" w:w="2016"/>
            <w:shd w:fill="FDE9D9" w:val="clear"/>
          </w:tcPr>
          <w:p>
            <w:r>
              <w:rPr>
                <w:b/>
                <w:bCs/>
                <w:sz w:val="18"/>
                <w:szCs w:val="18"/>
              </w:rPr>
              <w:t xml:space="preserve">North America</w:t>
            </w:r>
          </w:p>
        </w:tc>
        <w:tc>
          <w:tcPr>
            <w:tcW w:type="dxa" w:w="907"/>
            <w:shd w:fill="FDE9D9" w:val="clear"/>
          </w:tcPr>
          <w:p>
            <w:r>
              <w:rPr>
                <w:b w:val="false"/>
                <w:bCs w:val="false"/>
                <w:sz w:val="18"/>
                <w:szCs w:val="18"/>
              </w:rPr>
              <w:t xml:space="preserve">197</w:t>
            </w:r>
          </w:p>
        </w:tc>
        <w:tc>
          <w:tcPr>
            <w:tcW w:type="dxa" w:w="1411"/>
            <w:shd w:fill="FDE9D9" w:val="clear"/>
          </w:tcPr>
          <w:p>
            <w:r>
              <w:rPr>
                <w:b w:val="false"/>
                <w:bCs w:val="false"/>
                <w:sz w:val="18"/>
                <w:szCs w:val="18"/>
              </w:rPr>
              <w:t xml:space="preserve">59.9%</w:t>
            </w:r>
          </w:p>
        </w:tc>
        <w:tc>
          <w:tcPr>
            <w:tcW w:type="dxa" w:w="1310"/>
            <w:shd w:fill="FDE9D9" w:val="clear"/>
          </w:tcPr>
          <w:p>
            <w:r>
              <w:rPr>
                <w:b w:val="false"/>
                <w:bCs w:val="false"/>
                <w:sz w:val="18"/>
                <w:szCs w:val="18"/>
              </w:rPr>
              <w:t xml:space="preserve">95.9%</w:t>
            </w:r>
          </w:p>
        </w:tc>
        <w:tc>
          <w:tcPr>
            <w:tcW w:type="dxa" w:w="1512"/>
            <w:shd w:fill="FDE9D9" w:val="clear"/>
          </w:tcPr>
          <w:p>
            <w:r>
              <w:rPr>
                <w:b w:val="false"/>
                <w:bCs w:val="false"/>
                <w:sz w:val="18"/>
                <w:szCs w:val="18"/>
              </w:rPr>
              <w:t xml:space="preserve">-10.6 pts</w:t>
            </w:r>
          </w:p>
        </w:tc>
        <w:tc>
          <w:tcPr>
            <w:tcW w:type="dxa" w:w="2923"/>
            <w:shd w:fill="FDE9D9" w:val="clear"/>
          </w:tcPr>
          <w:p>
            <w:r>
              <w:rPr>
                <w:b w:val="false"/>
                <w:bCs w:val="false"/>
                <w:sz w:val="18"/>
                <w:szCs w:val="18"/>
              </w:rPr>
              <w:t xml:space="preserve">See finding F-01</w:t>
            </w:r>
          </w:p>
        </w:tc>
      </w:tr>
      <w:tr>
        <w:tc>
          <w:tcPr>
            <w:tcW w:type="dxa" w:w="2016"/>
            <w:shd w:fill="FDE9D9" w:val="clear"/>
          </w:tcPr>
          <w:p>
            <w:r>
              <w:rPr>
                <w:b/>
                <w:bCs/>
                <w:sz w:val="18"/>
                <w:szCs w:val="18"/>
              </w:rPr>
              <w:t xml:space="preserve">Latin America</w:t>
            </w:r>
          </w:p>
        </w:tc>
        <w:tc>
          <w:tcPr>
            <w:tcW w:type="dxa" w:w="907"/>
            <w:shd w:fill="FDE9D9" w:val="clear"/>
          </w:tcPr>
          <w:p>
            <w:r>
              <w:rPr>
                <w:b w:val="false"/>
                <w:bCs w:val="false"/>
                <w:sz w:val="18"/>
                <w:szCs w:val="18"/>
              </w:rPr>
              <w:t xml:space="preserve">67</w:t>
            </w:r>
          </w:p>
        </w:tc>
        <w:tc>
          <w:tcPr>
            <w:tcW w:type="dxa" w:w="1411"/>
            <w:shd w:fill="FDE9D9" w:val="clear"/>
          </w:tcPr>
          <w:p>
            <w:r>
              <w:rPr>
                <w:b w:val="false"/>
                <w:bCs w:val="false"/>
                <w:sz w:val="18"/>
                <w:szCs w:val="18"/>
              </w:rPr>
              <w:t xml:space="preserve">59.7%</w:t>
            </w:r>
          </w:p>
        </w:tc>
        <w:tc>
          <w:tcPr>
            <w:tcW w:type="dxa" w:w="1310"/>
            <w:shd w:fill="FDE9D9" w:val="clear"/>
          </w:tcPr>
          <w:p>
            <w:r>
              <w:rPr>
                <w:b w:val="false"/>
                <w:bCs w:val="false"/>
                <w:sz w:val="18"/>
                <w:szCs w:val="18"/>
              </w:rPr>
              <w:t xml:space="preserve">95.5%</w:t>
            </w:r>
          </w:p>
        </w:tc>
        <w:tc>
          <w:tcPr>
            <w:tcW w:type="dxa" w:w="1512"/>
            <w:shd w:fill="FDE9D9" w:val="clear"/>
          </w:tcPr>
          <w:p>
            <w:r>
              <w:rPr>
                <w:b w:val="false"/>
                <w:bCs w:val="false"/>
                <w:sz w:val="18"/>
                <w:szCs w:val="18"/>
              </w:rPr>
              <w:t xml:space="preserve">-10.8 pts</w:t>
            </w:r>
          </w:p>
        </w:tc>
        <w:tc>
          <w:tcPr>
            <w:tcW w:type="dxa" w:w="2923"/>
            <w:shd w:fill="FDE9D9" w:val="clear"/>
          </w:tcPr>
          <w:p>
            <w:r>
              <w:rPr>
                <w:b w:val="false"/>
                <w:bCs w:val="false"/>
                <w:sz w:val="18"/>
                <w:szCs w:val="18"/>
              </w:rPr>
              <w:t xml:space="preserve">Widest gap on any dimension</w:t>
            </w:r>
          </w:p>
        </w:tc>
      </w:tr>
      <w:tr>
        <w:tc>
          <w:tcPr>
            <w:tcW w:type="dxa" w:w="2016"/>
          </w:tcPr>
          <w:p>
            <w:r>
              <w:rPr>
                <w:b/>
                <w:bCs/>
                <w:sz w:val="18"/>
                <w:szCs w:val="18"/>
              </w:rPr>
              <w:t xml:space="preserve">Fluent English</w:t>
            </w:r>
          </w:p>
        </w:tc>
        <w:tc>
          <w:tcPr>
            <w:tcW w:type="dxa" w:w="907"/>
          </w:tcPr>
          <w:p>
            <w:r>
              <w:rPr>
                <w:b w:val="false"/>
                <w:bCs w:val="false"/>
                <w:sz w:val="18"/>
                <w:szCs w:val="18"/>
              </w:rPr>
              <w:t xml:space="preserve">441</w:t>
            </w:r>
          </w:p>
        </w:tc>
        <w:tc>
          <w:tcPr>
            <w:tcW w:type="dxa" w:w="1411"/>
          </w:tcPr>
          <w:p>
            <w:r>
              <w:rPr>
                <w:b w:val="false"/>
                <w:bCs w:val="false"/>
                <w:sz w:val="18"/>
                <w:szCs w:val="18"/>
              </w:rPr>
              <w:t xml:space="preserve">63.9%</w:t>
            </w:r>
          </w:p>
        </w:tc>
        <w:tc>
          <w:tcPr>
            <w:tcW w:type="dxa" w:w="1310"/>
          </w:tcPr>
          <w:p>
            <w:r>
              <w:rPr>
                <w:b w:val="false"/>
                <w:bCs w:val="false"/>
                <w:sz w:val="18"/>
                <w:szCs w:val="18"/>
              </w:rPr>
              <w:t xml:space="preserve">95.0%</w:t>
            </w:r>
          </w:p>
        </w:tc>
        <w:tc>
          <w:tcPr>
            <w:tcW w:type="dxa" w:w="1512"/>
          </w:tcPr>
          <w:p>
            <w:r>
              <w:rPr>
                <w:b w:val="false"/>
                <w:bCs w:val="false"/>
                <w:sz w:val="18"/>
                <w:szCs w:val="18"/>
              </w:rPr>
              <w:t xml:space="preserve">best</w:t>
            </w:r>
          </w:p>
        </w:tc>
        <w:tc>
          <w:tcPr>
            <w:tcW w:type="dxa" w:w="2923"/>
          </w:tcPr>
          <w:p>
            <w:r>
              <w:rPr>
                <w:b w:val="false"/>
                <w:bCs w:val="false"/>
                <w:sz w:val="18"/>
                <w:szCs w:val="18"/>
              </w:rPr>
              <w:t xml:space="preserve">Guardrail block rate 0.7%</w:t>
            </w:r>
          </w:p>
        </w:tc>
      </w:tr>
      <w:tr>
        <w:tc>
          <w:tcPr>
            <w:tcW w:type="dxa" w:w="2016"/>
            <w:shd w:fill="FDE9D9" w:val="clear"/>
          </w:tcPr>
          <w:p>
            <w:r>
              <w:rPr>
                <w:b/>
                <w:bCs/>
                <w:sz w:val="18"/>
                <w:szCs w:val="18"/>
              </w:rPr>
              <w:t xml:space="preserve">Non-fluent English</w:t>
            </w:r>
          </w:p>
        </w:tc>
        <w:tc>
          <w:tcPr>
            <w:tcW w:type="dxa" w:w="907"/>
            <w:shd w:fill="FDE9D9" w:val="clear"/>
          </w:tcPr>
          <w:p>
            <w:r>
              <w:rPr>
                <w:b w:val="false"/>
                <w:bCs w:val="false"/>
                <w:sz w:val="18"/>
                <w:szCs w:val="18"/>
              </w:rPr>
              <w:t xml:space="preserve">139</w:t>
            </w:r>
          </w:p>
        </w:tc>
        <w:tc>
          <w:tcPr>
            <w:tcW w:type="dxa" w:w="1411"/>
            <w:shd w:fill="FDE9D9" w:val="clear"/>
          </w:tcPr>
          <w:p>
            <w:r>
              <w:rPr>
                <w:b w:val="false"/>
                <w:bCs w:val="false"/>
                <w:sz w:val="18"/>
                <w:szCs w:val="18"/>
              </w:rPr>
              <w:t xml:space="preserve">62.6%</w:t>
            </w:r>
          </w:p>
        </w:tc>
        <w:tc>
          <w:tcPr>
            <w:tcW w:type="dxa" w:w="1310"/>
            <w:shd w:fill="FDE9D9" w:val="clear"/>
          </w:tcPr>
          <w:p>
            <w:r>
              <w:rPr>
                <w:b w:val="false"/>
                <w:bCs w:val="false"/>
                <w:sz w:val="18"/>
                <w:szCs w:val="18"/>
              </w:rPr>
              <w:t xml:space="preserve">95.7%</w:t>
            </w:r>
          </w:p>
        </w:tc>
        <w:tc>
          <w:tcPr>
            <w:tcW w:type="dxa" w:w="1512"/>
            <w:shd w:fill="FDE9D9" w:val="clear"/>
          </w:tcPr>
          <w:p>
            <w:r>
              <w:rPr>
                <w:b w:val="false"/>
                <w:bCs w:val="false"/>
                <w:sz w:val="18"/>
                <w:szCs w:val="18"/>
              </w:rPr>
              <w:t xml:space="preserve">-1.3 pts</w:t>
            </w:r>
          </w:p>
        </w:tc>
        <w:tc>
          <w:tcPr>
            <w:tcW w:type="dxa" w:w="2923"/>
            <w:shd w:fill="FDE9D9" w:val="clear"/>
          </w:tcPr>
          <w:p>
            <w:r>
              <w:rPr>
                <w:b w:val="false"/>
                <w:bCs w:val="false"/>
                <w:sz w:val="18"/>
                <w:szCs w:val="18"/>
              </w:rPr>
              <w:t xml:space="preserve">Answer rate nearly identical, but block rate is 2.2% — see F-03</w:t>
            </w:r>
          </w:p>
        </w:tc>
      </w:tr>
    </w:tbl>
    <w:p>
      <w:pPr>
        <w:spacing w:after="80"/>
      </w:pPr>
    </w:p>
    <w:p>
      <w:pPr>
        <w:pStyle w:val="Heading2"/>
        <w:spacing w:after="120" w:before="240"/>
      </w:pPr>
      <w:r>
        <w:t xml:space="preserve">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2822"/>
        <w:gridCol w:w="4032"/>
        <w:gridCol w:w="2621"/>
      </w:tblGrid>
      <w:tr>
        <w:trPr>
          <w:tblHeader/>
        </w:trPr>
        <w:tc>
          <w:tcPr>
            <w:tcW w:type="dxa" w:w="605"/>
            <w:shd w:fill="DCE6F1" w:val="clear"/>
          </w:tcPr>
          <w:p>
            <w:r>
              <w:rPr>
                <w:b/>
                <w:bCs/>
                <w:sz w:val="18"/>
                <w:szCs w:val="18"/>
              </w:rPr>
              <w:t xml:space="preserve">ID</w:t>
            </w:r>
          </w:p>
        </w:tc>
        <w:tc>
          <w:tcPr>
            <w:tcW w:type="dxa" w:w="2822"/>
            <w:shd w:fill="DCE6F1" w:val="clear"/>
          </w:tcPr>
          <w:p>
            <w:r>
              <w:rPr>
                <w:b/>
                <w:bCs/>
                <w:sz w:val="18"/>
                <w:szCs w:val="18"/>
              </w:rPr>
              <w:t xml:space="preserve">Finding</w:t>
            </w:r>
          </w:p>
        </w:tc>
        <w:tc>
          <w:tcPr>
            <w:tcW w:type="dxa" w:w="4032"/>
            <w:shd w:fill="DCE6F1" w:val="clear"/>
          </w:tcPr>
          <w:p>
            <w:r>
              <w:rPr>
                <w:b/>
                <w:bCs/>
                <w:sz w:val="18"/>
                <w:szCs w:val="18"/>
              </w:rPr>
              <w:t xml:space="preserve">Interpretation</w:t>
            </w:r>
          </w:p>
        </w:tc>
        <w:tc>
          <w:tcPr>
            <w:tcW w:type="dxa" w:w="2621"/>
            <w:shd w:fill="DCE6F1" w:val="clear"/>
          </w:tcPr>
          <w:p>
            <w:r>
              <w:rPr>
                <w:b/>
                <w:bCs/>
                <w:sz w:val="18"/>
                <w:szCs w:val="18"/>
              </w:rPr>
              <w:t xml:space="preserve">Action</w:t>
            </w:r>
          </w:p>
        </w:tc>
      </w:tr>
      <w:tr>
        <w:tc>
          <w:tcPr>
            <w:tcW w:type="dxa" w:w="605"/>
          </w:tcPr>
          <w:p>
            <w:r>
              <w:rPr>
                <w:b/>
                <w:bCs/>
                <w:sz w:val="18"/>
                <w:szCs w:val="18"/>
              </w:rPr>
              <w:t xml:space="preserve">F-01</w:t>
            </w:r>
          </w:p>
        </w:tc>
        <w:tc>
          <w:tcPr>
            <w:tcW w:type="dxa" w:w="2822"/>
          </w:tcPr>
          <w:p>
            <w:r>
              <w:rPr>
                <w:b w:val="false"/>
                <w:bCs w:val="false"/>
                <w:sz w:val="18"/>
                <w:szCs w:val="18"/>
              </w:rPr>
              <w:t xml:space="preserve">Regional automated answer rate varies by 10.8 points — Europe 70.5% against Latin America 59.7%.</w:t>
            </w:r>
          </w:p>
        </w:tc>
        <w:tc>
          <w:tcPr>
            <w:tcW w:type="dxa" w:w="4032"/>
          </w:tcPr>
          <w:p>
            <w:r>
              <w:rPr>
                <w:b w:val="false"/>
                <w:bCs w:val="false"/>
                <w:sz w:val="18"/>
                <w:szCs w:val="18"/>
              </w:rPr>
              <w:t xml:space="preserve">Not designed in, and not explained by fluency: the fluency gap on the same run is only 1.3 points. The likely cause is phrasing. Retrieval matches words rather than meanings, so customers who describe problems in vocabulary closer to the documentation's own are better served. Regional differences in technical idiom would produce exactly this pattern.</w:t>
            </w:r>
          </w:p>
        </w:tc>
        <w:tc>
          <w:tcPr>
            <w:tcW w:type="dxa" w:w="2621"/>
          </w:tcPr>
          <w:p>
            <w:r>
              <w:rPr>
                <w:b w:val="false"/>
                <w:bCs w:val="false"/>
                <w:sz w:val="18"/>
                <w:szCs w:val="18"/>
              </w:rPr>
              <w:t xml:space="preserve">Investigate before any deployment by segmenting retrieval scores, not just outcomes, by region. If confirmed, semantic embeddings rather than TF-IDF would reduce it directly.</w:t>
            </w:r>
          </w:p>
        </w:tc>
      </w:tr>
      <w:tr>
        <w:tc>
          <w:tcPr>
            <w:tcW w:type="dxa" w:w="605"/>
          </w:tcPr>
          <w:p>
            <w:r>
              <w:rPr>
                <w:b/>
                <w:bCs/>
                <w:sz w:val="18"/>
                <w:szCs w:val="18"/>
              </w:rPr>
              <w:t xml:space="preserve">F-02</w:t>
            </w:r>
          </w:p>
        </w:tc>
        <w:tc>
          <w:tcPr>
            <w:tcW w:type="dxa" w:w="2822"/>
          </w:tcPr>
          <w:p>
            <w:r>
              <w:rPr>
                <w:b w:val="false"/>
                <w:bCs w:val="false"/>
                <w:sz w:val="18"/>
                <w:szCs w:val="18"/>
              </w:rPr>
              <w:t xml:space="preserve">Enterprise customers receive automated answers 8.2 points more often than standard customers.</w:t>
            </w:r>
          </w:p>
        </w:tc>
        <w:tc>
          <w:tcPr>
            <w:tcW w:type="dxa" w:w="4032"/>
          </w:tcPr>
          <w:p>
            <w:r>
              <w:rPr>
                <w:b w:val="false"/>
                <w:bCs w:val="false"/>
                <w:sz w:val="18"/>
                <w:szCs w:val="18"/>
              </w:rPr>
              <w:t xml:space="preserve">The direction is notable: historically enterprise tickets escalated MORE than any other tier, at 60.4%. The system reverses that. This was not engineered — no tier-specific rule exists — so it reflects something about enterprise ticket composition rather than a designed preference.</w:t>
            </w:r>
          </w:p>
        </w:tc>
        <w:tc>
          <w:tcPr>
            <w:tcW w:type="dxa" w:w="2621"/>
          </w:tcPr>
          <w:p>
            <w:r>
              <w:rPr>
                <w:b w:val="false"/>
                <w:bCs w:val="false"/>
                <w:sz w:val="18"/>
                <w:szCs w:val="18"/>
              </w:rPr>
              <w:t xml:space="preserve">Reported rather than corrected. A tier-specific threshold was considered and rejected in PRD v2.0 as solving a problem the system does not have. Monitor after deployment.</w:t>
            </w:r>
          </w:p>
        </w:tc>
      </w:tr>
      <w:tr>
        <w:tc>
          <w:tcPr>
            <w:tcW w:type="dxa" w:w="605"/>
          </w:tcPr>
          <w:p>
            <w:r>
              <w:rPr>
                <w:b/>
                <w:bCs/>
                <w:sz w:val="18"/>
                <w:szCs w:val="18"/>
              </w:rPr>
              <w:t xml:space="preserve">F-03</w:t>
            </w:r>
          </w:p>
        </w:tc>
        <w:tc>
          <w:tcPr>
            <w:tcW w:type="dxa" w:w="2822"/>
          </w:tcPr>
          <w:p>
            <w:r>
              <w:rPr>
                <w:b w:val="false"/>
                <w:bCs w:val="false"/>
                <w:sz w:val="18"/>
                <w:szCs w:val="18"/>
              </w:rPr>
              <w:t xml:space="preserve">Responses to non-fluent customers are blocked by guardrails at 2.2%, roughly three times the 0.7% rate for fluent customers.</w:t>
            </w:r>
          </w:p>
        </w:tc>
        <w:tc>
          <w:tcPr>
            <w:tcW w:type="dxa" w:w="4032"/>
          </w:tcPr>
          <w:p>
            <w:r>
              <w:rPr>
                <w:b w:val="false"/>
                <w:bCs w:val="false"/>
                <w:sz w:val="18"/>
                <w:szCs w:val="18"/>
              </w:rPr>
              <w:t xml:space="preserve">This is most likely the guardrails working correctly rather than a defect. Harder-to-parse tickets produce weaker retrieval, and weaker grounding is exactly what the ungrounded_answer check exists to catch. A blocked response becomes a human escalation, which is the safe outcome — but it does mean non-fluent customers wait longer more often.</w:t>
            </w:r>
          </w:p>
        </w:tc>
        <w:tc>
          <w:tcPr>
            <w:tcW w:type="dxa" w:w="2621"/>
          </w:tcPr>
          <w:p>
            <w:r>
              <w:rPr>
                <w:b w:val="false"/>
                <w:bCs w:val="false"/>
                <w:sz w:val="18"/>
                <w:szCs w:val="18"/>
              </w:rPr>
              <w:t xml:space="preserve">Accepted for now, with the cost stated plainly: safety is being purchased at the expense of speed for a segment that already waits longer. Revisit if the absolute numbers grow.</w:t>
            </w:r>
          </w:p>
        </w:tc>
      </w:tr>
    </w:tbl>
    <w:p>
      <w:pPr>
        <w:spacing w:after="80"/>
      </w:pPr>
    </w:p>
    <w:p>
      <w:pPr>
        <w:pBdr>
          <w:top w:val="single" w:color="999999" w:sz="6"/>
          <w:bottom w:val="single" w:color="999999" w:sz="6"/>
          <w:left w:val="single" w:color="999999" w:sz="6"/>
          <w:right w:val="single" w:color="999999" w:sz="6"/>
        </w:pBdr>
        <w:spacing w:after="200" w:before="120"/>
      </w:pPr>
      <w:r>
        <w:rPr>
          <w:b/>
          <w:bCs/>
          <w:sz w:val="20"/>
          <w:szCs w:val="20"/>
        </w:rPr>
        <w:t xml:space="preserve">On reporting these rather than removing them.  </w:t>
      </w:r>
      <w:r>
        <w:rPr>
          <w:sz w:val="20"/>
          <w:szCs w:val="20"/>
        </w:rPr>
        <w:t xml:space="preserve">The framework notes that finding and reporting a fairness gap honestly is worth more than a table showing no variation anywhere, which usually means the analysis was not sensitive enough. All three gaps above could have been hidden by reporting only aggregate figures. They are reported because a gap that is not measured cannot be addressed, and because the segmented view is what a compliance review will ask for.</w:t>
      </w:r>
    </w:p>
    <w:p>
      <w:r>
        <w:br w:type="page"/>
      </w:r>
    </w:p>
    <w:p>
      <w:pPr>
        <w:pStyle w:val="Heading1"/>
        <w:spacing w:after="150" w:before="300"/>
      </w:pPr>
      <w:r>
        <w:t xml:space="preserve">4. Guardrails</w:t>
      </w:r>
    </w:p>
    <w:p>
      <w:pPr>
        <w:spacing w:after="160"/>
      </w:pPr>
      <w:r>
        <w:rPr>
          <w:b w:val="false"/>
          <w:bCs w:val="false"/>
          <w:i/>
          <w:iCs/>
          <w:sz w:val="20"/>
          <w:szCs w:val="20"/>
        </w:rPr>
        <w:t xml:space="preserve">Two layers. The deterministic layer runs first and can block with no model call, because a check that requires the provider to be reachable is not a check at the moment it is most needed. During the gate run the provider was unavailable throughout, and every block performed was performed by this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024"/>
        <w:gridCol w:w="2822"/>
        <w:gridCol w:w="1310"/>
        <w:gridCol w:w="1310"/>
      </w:tblGrid>
      <w:tr>
        <w:trPr>
          <w:tblHeader/>
        </w:trPr>
        <w:tc>
          <w:tcPr>
            <w:tcW w:type="dxa" w:w="1613"/>
            <w:shd w:fill="DCE6F1" w:val="clear"/>
          </w:tcPr>
          <w:p>
            <w:r>
              <w:rPr>
                <w:b/>
                <w:bCs/>
                <w:sz w:val="18"/>
                <w:szCs w:val="18"/>
              </w:rPr>
              <w:t xml:space="preserve">Guardrail</w:t>
            </w:r>
          </w:p>
        </w:tc>
        <w:tc>
          <w:tcPr>
            <w:tcW w:type="dxa" w:w="3024"/>
            <w:shd w:fill="DCE6F1" w:val="clear"/>
          </w:tcPr>
          <w:p>
            <w:r>
              <w:rPr>
                <w:b/>
                <w:bCs/>
                <w:sz w:val="18"/>
                <w:szCs w:val="18"/>
              </w:rPr>
              <w:t xml:space="preserve">What it checks</w:t>
            </w:r>
          </w:p>
        </w:tc>
        <w:tc>
          <w:tcPr>
            <w:tcW w:type="dxa" w:w="2822"/>
            <w:shd w:fill="DCE6F1" w:val="clear"/>
          </w:tcPr>
          <w:p>
            <w:r>
              <w:rPr>
                <w:b/>
                <w:bCs/>
                <w:sz w:val="18"/>
                <w:szCs w:val="18"/>
              </w:rPr>
              <w:t xml:space="preserve">What happens when it fires</w:t>
            </w:r>
          </w:p>
        </w:tc>
        <w:tc>
          <w:tcPr>
            <w:tcW w:type="dxa" w:w="1310"/>
            <w:shd w:fill="DCE6F1" w:val="clear"/>
          </w:tcPr>
          <w:p>
            <w:r>
              <w:rPr>
                <w:b/>
                <w:bCs/>
                <w:sz w:val="18"/>
                <w:szCs w:val="18"/>
              </w:rPr>
              <w:t xml:space="preserve">Layer</w:t>
            </w:r>
          </w:p>
        </w:tc>
        <w:tc>
          <w:tcPr>
            <w:tcW w:type="dxa" w:w="1310"/>
            <w:shd w:fill="DCE6F1" w:val="clear"/>
          </w:tcPr>
          <w:p>
            <w:r>
              <w:rPr>
                <w:b/>
                <w:bCs/>
                <w:sz w:val="18"/>
                <w:szCs w:val="18"/>
              </w:rPr>
              <w:t xml:space="preserve">Fired in the gate run</w:t>
            </w:r>
          </w:p>
        </w:tc>
      </w:tr>
      <w:tr>
        <w:tc>
          <w:tcPr>
            <w:tcW w:type="dxa" w:w="1613"/>
          </w:tcPr>
          <w:p>
            <w:r>
              <w:rPr>
                <w:b/>
                <w:bCs/>
                <w:sz w:val="18"/>
                <w:szCs w:val="18"/>
              </w:rPr>
              <w:t xml:space="preserve">Private data</w:t>
            </w:r>
          </w:p>
        </w:tc>
        <w:tc>
          <w:tcPr>
            <w:tcW w:type="dxa" w:w="3024"/>
          </w:tcPr>
          <w:p>
            <w:r>
              <w:rPr>
                <w:b w:val="false"/>
                <w:bCs w:val="false"/>
                <w:sz w:val="18"/>
                <w:szCs w:val="18"/>
              </w:rPr>
              <w:t xml:space="preserve">Customer IDs, email addresses, API keys, bearer tokens, card numbers, IP addresses in the outbound reply.</w:t>
            </w:r>
          </w:p>
        </w:tc>
        <w:tc>
          <w:tcPr>
            <w:tcW w:type="dxa" w:w="2822"/>
          </w:tcPr>
          <w:p>
            <w:r>
              <w:rPr>
                <w:b w:val="false"/>
                <w:bCs w:val="false"/>
                <w:sz w:val="18"/>
                <w:szCs w:val="18"/>
              </w:rPr>
              <w:t xml:space="preserve">Block and escalate. Never redact and send — a redacted reply still proves the data was available to the system.</w:t>
            </w:r>
          </w:p>
        </w:tc>
        <w:tc>
          <w:tcPr>
            <w:tcW w:type="dxa" w:w="1310"/>
          </w:tcPr>
          <w:p>
            <w:r>
              <w:rPr>
                <w:b w:val="false"/>
                <w:bCs w:val="false"/>
                <w:sz w:val="18"/>
                <w:szCs w:val="18"/>
              </w:rPr>
              <w:t xml:space="preserve">Deterministic</w:t>
            </w:r>
          </w:p>
        </w:tc>
        <w:tc>
          <w:tcPr>
            <w:tcW w:type="dxa" w:w="1310"/>
          </w:tcPr>
          <w:p>
            <w:r>
              <w:rPr>
                <w:b w:val="false"/>
                <w:bCs w:val="false"/>
                <w:sz w:val="18"/>
                <w:szCs w:val="18"/>
              </w:rPr>
              <w:t xml:space="preserve">0</w:t>
            </w:r>
          </w:p>
        </w:tc>
      </w:tr>
      <w:tr>
        <w:tc>
          <w:tcPr>
            <w:tcW w:type="dxa" w:w="1613"/>
          </w:tcPr>
          <w:p>
            <w:r>
              <w:rPr>
                <w:b/>
                <w:bCs/>
                <w:sz w:val="18"/>
                <w:szCs w:val="18"/>
              </w:rPr>
              <w:t xml:space="preserve">Forbidden commitment</w:t>
            </w:r>
          </w:p>
        </w:tc>
        <w:tc>
          <w:tcPr>
            <w:tcW w:type="dxa" w:w="3024"/>
          </w:tcPr>
          <w:p>
            <w:r>
              <w:rPr>
                <w:b w:val="false"/>
                <w:bCs w:val="false"/>
                <w:sz w:val="18"/>
                <w:szCs w:val="18"/>
              </w:rPr>
              <w:t xml:space="preserve">Refunds, account credits, fix timelines, release dates, claims that an issue is already fixed, claims to have accessed the customer's account.</w:t>
            </w:r>
          </w:p>
        </w:tc>
        <w:tc>
          <w:tcPr>
            <w:tcW w:type="dxa" w:w="2822"/>
          </w:tcPr>
          <w:p>
            <w:r>
              <w:rPr>
                <w:b w:val="false"/>
                <w:bCs w:val="false"/>
                <w:sz w:val="18"/>
                <w:szCs w:val="18"/>
              </w:rPr>
              <w:t xml:space="preserve">Block and escalate. These commitments are not the system's to make; they become contractual.</w:t>
            </w:r>
          </w:p>
        </w:tc>
        <w:tc>
          <w:tcPr>
            <w:tcW w:type="dxa" w:w="1310"/>
          </w:tcPr>
          <w:p>
            <w:r>
              <w:rPr>
                <w:b w:val="false"/>
                <w:bCs w:val="false"/>
                <w:sz w:val="18"/>
                <w:szCs w:val="18"/>
              </w:rPr>
              <w:t xml:space="preserve">Deterministic</w:t>
            </w:r>
          </w:p>
        </w:tc>
        <w:tc>
          <w:tcPr>
            <w:tcW w:type="dxa" w:w="1310"/>
          </w:tcPr>
          <w:p>
            <w:r>
              <w:rPr>
                <w:b w:val="false"/>
                <w:bCs w:val="false"/>
                <w:sz w:val="18"/>
                <w:szCs w:val="18"/>
              </w:rPr>
              <w:t xml:space="preserve">6</w:t>
            </w:r>
          </w:p>
        </w:tc>
      </w:tr>
      <w:tr>
        <w:tc>
          <w:tcPr>
            <w:tcW w:type="dxa" w:w="1613"/>
          </w:tcPr>
          <w:p>
            <w:r>
              <w:rPr>
                <w:b/>
                <w:bCs/>
                <w:sz w:val="18"/>
                <w:szCs w:val="18"/>
              </w:rPr>
              <w:t xml:space="preserve">Unsupported citation</w:t>
            </w:r>
          </w:p>
        </w:tc>
        <w:tc>
          <w:tcPr>
            <w:tcW w:type="dxa" w:w="3024"/>
          </w:tcPr>
          <w:p>
            <w:r>
              <w:rPr>
                <w:b w:val="false"/>
                <w:bCs w:val="false"/>
                <w:sz w:val="18"/>
                <w:szCs w:val="18"/>
              </w:rPr>
              <w:t xml:space="preserve">Every cited doc_id corresponds to a passage actually retrieved for this ticket.</w:t>
            </w:r>
          </w:p>
        </w:tc>
        <w:tc>
          <w:tcPr>
            <w:tcW w:type="dxa" w:w="2822"/>
          </w:tcPr>
          <w:p>
            <w:r>
              <w:rPr>
                <w:b w:val="false"/>
                <w:bCs w:val="false"/>
                <w:sz w:val="18"/>
                <w:szCs w:val="18"/>
              </w:rPr>
              <w:t xml:space="preserve">Block and escalate with the invented citation named.</w:t>
            </w:r>
          </w:p>
        </w:tc>
        <w:tc>
          <w:tcPr>
            <w:tcW w:type="dxa" w:w="1310"/>
          </w:tcPr>
          <w:p>
            <w:r>
              <w:rPr>
                <w:b w:val="false"/>
                <w:bCs w:val="false"/>
                <w:sz w:val="18"/>
                <w:szCs w:val="18"/>
              </w:rPr>
              <w:t xml:space="preserve">Deterministic</w:t>
            </w:r>
          </w:p>
        </w:tc>
        <w:tc>
          <w:tcPr>
            <w:tcW w:type="dxa" w:w="1310"/>
          </w:tcPr>
          <w:p>
            <w:r>
              <w:rPr>
                <w:b w:val="false"/>
                <w:bCs w:val="false"/>
                <w:sz w:val="18"/>
                <w:szCs w:val="18"/>
              </w:rPr>
              <w:t xml:space="preserve">0</w:t>
            </w:r>
          </w:p>
        </w:tc>
      </w:tr>
      <w:tr>
        <w:tc>
          <w:tcPr>
            <w:tcW w:type="dxa" w:w="1613"/>
          </w:tcPr>
          <w:p>
            <w:r>
              <w:rPr>
                <w:b/>
                <w:bCs/>
                <w:sz w:val="18"/>
                <w:szCs w:val="18"/>
              </w:rPr>
              <w:t xml:space="preserve">Ungrounded answer</w:t>
            </w:r>
          </w:p>
        </w:tc>
        <w:tc>
          <w:tcPr>
            <w:tcW w:type="dxa" w:w="3024"/>
          </w:tcPr>
          <w:p>
            <w:r>
              <w:rPr>
                <w:b w:val="false"/>
                <w:bCs w:val="false"/>
                <w:sz w:val="18"/>
                <w:szCs w:val="18"/>
              </w:rPr>
              <w:t xml:space="preserve">A reply that makes a claim — tells the customer something is true or instructs them to act — cites at least one source.</w:t>
            </w:r>
          </w:p>
        </w:tc>
        <w:tc>
          <w:tcPr>
            <w:tcW w:type="dxa" w:w="2822"/>
          </w:tcPr>
          <w:p>
            <w:r>
              <w:rPr>
                <w:b w:val="false"/>
                <w:bCs w:val="false"/>
                <w:sz w:val="18"/>
                <w:szCs w:val="18"/>
              </w:rPr>
              <w:t xml:space="preserve">Block and escalate. An uncited instruction is unverifiable regardless of length.</w:t>
            </w:r>
          </w:p>
        </w:tc>
        <w:tc>
          <w:tcPr>
            <w:tcW w:type="dxa" w:w="1310"/>
          </w:tcPr>
          <w:p>
            <w:r>
              <w:rPr>
                <w:b w:val="false"/>
                <w:bCs w:val="false"/>
                <w:sz w:val="18"/>
                <w:szCs w:val="18"/>
              </w:rPr>
              <w:t xml:space="preserve">Deterministic</w:t>
            </w:r>
          </w:p>
        </w:tc>
        <w:tc>
          <w:tcPr>
            <w:tcW w:type="dxa" w:w="1310"/>
          </w:tcPr>
          <w:p>
            <w:r>
              <w:rPr>
                <w:b w:val="false"/>
                <w:bCs w:val="false"/>
                <w:sz w:val="18"/>
                <w:szCs w:val="18"/>
              </w:rPr>
              <w:t xml:space="preserve">0</w:t>
            </w:r>
          </w:p>
        </w:tc>
      </w:tr>
      <w:tr>
        <w:tc>
          <w:tcPr>
            <w:tcW w:type="dxa" w:w="1613"/>
          </w:tcPr>
          <w:p>
            <w:r>
              <w:rPr>
                <w:b/>
                <w:bCs/>
                <w:sz w:val="18"/>
                <w:szCs w:val="18"/>
              </w:rPr>
              <w:t xml:space="preserve">Instruction integrity</w:t>
            </w:r>
          </w:p>
        </w:tc>
        <w:tc>
          <w:tcPr>
            <w:tcW w:type="dxa" w:w="3024"/>
          </w:tcPr>
          <w:p>
            <w:r>
              <w:rPr>
                <w:b w:val="false"/>
                <w:bCs w:val="false"/>
                <w:sz w:val="18"/>
                <w:szCs w:val="18"/>
              </w:rPr>
              <w:t xml:space="preserve">The never-automate intent list, enforced in code rather than in a prompt.</w:t>
            </w:r>
          </w:p>
        </w:tc>
        <w:tc>
          <w:tcPr>
            <w:tcW w:type="dxa" w:w="2822"/>
          </w:tcPr>
          <w:p>
            <w:r>
              <w:rPr>
                <w:b w:val="false"/>
                <w:bCs w:val="false"/>
                <w:sz w:val="18"/>
                <w:szCs w:val="18"/>
              </w:rPr>
              <w:t xml:space="preserve">Escalate before confidence is even consulted. No injected instruction can widen the list.</w:t>
            </w:r>
          </w:p>
        </w:tc>
        <w:tc>
          <w:tcPr>
            <w:tcW w:type="dxa" w:w="1310"/>
          </w:tcPr>
          <w:p>
            <w:r>
              <w:rPr>
                <w:b w:val="false"/>
                <w:bCs w:val="false"/>
                <w:sz w:val="18"/>
                <w:szCs w:val="18"/>
              </w:rPr>
              <w:t xml:space="preserve">Code (routing gate 1)</w:t>
            </w:r>
          </w:p>
        </w:tc>
        <w:tc>
          <w:tcPr>
            <w:tcW w:type="dxa" w:w="1310"/>
          </w:tcPr>
          <w:p>
            <w:r>
              <w:rPr>
                <w:b w:val="false"/>
                <w:bCs w:val="false"/>
                <w:sz w:val="18"/>
                <w:szCs w:val="18"/>
              </w:rPr>
              <w:t xml:space="preserve">130 tickets escalated</w:t>
            </w:r>
          </w:p>
        </w:tc>
      </w:tr>
      <w:tr>
        <w:tc>
          <w:tcPr>
            <w:tcW w:type="dxa" w:w="1613"/>
          </w:tcPr>
          <w:p>
            <w:r>
              <w:rPr>
                <w:b/>
                <w:bCs/>
                <w:sz w:val="18"/>
                <w:szCs w:val="18"/>
              </w:rPr>
              <w:t xml:space="preserve">Safety vocabulary</w:t>
            </w:r>
          </w:p>
        </w:tc>
        <w:tc>
          <w:tcPr>
            <w:tcW w:type="dxa" w:w="3024"/>
          </w:tcPr>
          <w:p>
            <w:r>
              <w:rPr>
                <w:b w:val="false"/>
                <w:bCs w:val="false"/>
                <w:sz w:val="18"/>
                <w:szCs w:val="18"/>
              </w:rPr>
              <w:t xml:space="preserve">Security, legal and billing terms read directly from the ticket text, independently of what the classifier concluded.</w:t>
            </w:r>
          </w:p>
        </w:tc>
        <w:tc>
          <w:tcPr>
            <w:tcW w:type="dxa" w:w="2822"/>
          </w:tcPr>
          <w:p>
            <w:r>
              <w:rPr>
                <w:b w:val="false"/>
                <w:bCs w:val="false"/>
                <w:sz w:val="18"/>
                <w:szCs w:val="18"/>
              </w:rPr>
              <w:t xml:space="preserve">Escalate. Exists because the classifier alone caught only 72% of tickets that must never be auto-answered.</w:t>
            </w:r>
          </w:p>
        </w:tc>
        <w:tc>
          <w:tcPr>
            <w:tcW w:type="dxa" w:w="1310"/>
          </w:tcPr>
          <w:p>
            <w:r>
              <w:rPr>
                <w:b w:val="false"/>
                <w:bCs w:val="false"/>
                <w:sz w:val="18"/>
                <w:szCs w:val="18"/>
              </w:rPr>
              <w:t xml:space="preserve">Code (routing gate 2)</w:t>
            </w:r>
          </w:p>
        </w:tc>
        <w:tc>
          <w:tcPr>
            <w:tcW w:type="dxa" w:w="1310"/>
          </w:tcPr>
          <w:p>
            <w:r>
              <w:rPr>
                <w:b w:val="false"/>
                <w:bCs w:val="false"/>
                <w:sz w:val="18"/>
                <w:szCs w:val="18"/>
              </w:rPr>
              <w:t xml:space="preserve">9 tickets escalated</w:t>
            </w:r>
          </w:p>
        </w:tc>
      </w:tr>
      <w:tr>
        <w:tc>
          <w:tcPr>
            <w:tcW w:type="dxa" w:w="1613"/>
          </w:tcPr>
          <w:p>
            <w:r>
              <w:rPr>
                <w:b/>
                <w:bCs/>
                <w:sz w:val="18"/>
                <w:szCs w:val="18"/>
              </w:rPr>
              <w:t xml:space="preserve">Confidence floor</w:t>
            </w:r>
          </w:p>
        </w:tc>
        <w:tc>
          <w:tcPr>
            <w:tcW w:type="dxa" w:w="3024"/>
          </w:tcPr>
          <w:p>
            <w:r>
              <w:rPr>
                <w:b w:val="false"/>
                <w:bCs w:val="false"/>
                <w:sz w:val="18"/>
                <w:szCs w:val="18"/>
              </w:rPr>
              <w:t xml:space="preserve">The routing threshold was actually applied and a confidence score exists.</w:t>
            </w:r>
          </w:p>
        </w:tc>
        <w:tc>
          <w:tcPr>
            <w:tcW w:type="dxa" w:w="2822"/>
          </w:tcPr>
          <w:p>
            <w:r>
              <w:rPr>
                <w:b w:val="false"/>
                <w:bCs w:val="false"/>
                <w:sz w:val="18"/>
                <w:szCs w:val="18"/>
              </w:rPr>
              <w:t xml:space="preserve">Escalate. A missing confidence score is treated as a low one, never a high one.</w:t>
            </w:r>
          </w:p>
        </w:tc>
        <w:tc>
          <w:tcPr>
            <w:tcW w:type="dxa" w:w="1310"/>
          </w:tcPr>
          <w:p>
            <w:r>
              <w:rPr>
                <w:b w:val="false"/>
                <w:bCs w:val="false"/>
                <w:sz w:val="18"/>
                <w:szCs w:val="18"/>
              </w:rPr>
              <w:t xml:space="preserve">Code (routing gate 4)</w:t>
            </w:r>
          </w:p>
        </w:tc>
        <w:tc>
          <w:tcPr>
            <w:tcW w:type="dxa" w:w="1310"/>
          </w:tcPr>
          <w:p>
            <w:r>
              <w:rPr>
                <w:b w:val="false"/>
                <w:bCs w:val="false"/>
                <w:sz w:val="18"/>
                <w:szCs w:val="18"/>
              </w:rPr>
              <w:t xml:space="preserve">62 tickets escalated</w:t>
            </w:r>
          </w:p>
        </w:tc>
      </w:tr>
      <w:tr>
        <w:tc>
          <w:tcPr>
            <w:tcW w:type="dxa" w:w="1613"/>
          </w:tcPr>
          <w:p>
            <w:r>
              <w:rPr>
                <w:b/>
                <w:bCs/>
                <w:sz w:val="18"/>
                <w:szCs w:val="18"/>
              </w:rPr>
              <w:t xml:space="preserve">Groundedness (model)</w:t>
            </w:r>
          </w:p>
        </w:tc>
        <w:tc>
          <w:tcPr>
            <w:tcW w:type="dxa" w:w="3024"/>
          </w:tcPr>
          <w:p>
            <w:r>
              <w:rPr>
                <w:b w:val="false"/>
                <w:bCs w:val="false"/>
                <w:sz w:val="18"/>
                <w:szCs w:val="18"/>
              </w:rPr>
              <w:t xml:space="preserve">Semantic check for claims that are fluent and plausible but supported by no retrieved passage.</w:t>
            </w:r>
          </w:p>
        </w:tc>
        <w:tc>
          <w:tcPr>
            <w:tcW w:type="dxa" w:w="2822"/>
          </w:tcPr>
          <w:p>
            <w:r>
              <w:rPr>
                <w:b w:val="false"/>
                <w:bCs w:val="false"/>
                <w:sz w:val="18"/>
                <w:szCs w:val="18"/>
              </w:rPr>
              <w:t xml:space="preserve">Block and escalate. Second layer only — never the sole defence.</w:t>
            </w:r>
          </w:p>
        </w:tc>
        <w:tc>
          <w:tcPr>
            <w:tcW w:type="dxa" w:w="1310"/>
          </w:tcPr>
          <w:p>
            <w:r>
              <w:rPr>
                <w:b w:val="false"/>
                <w:bCs w:val="false"/>
                <w:sz w:val="18"/>
                <w:szCs w:val="18"/>
              </w:rPr>
              <w:t xml:space="preserve">Model (PR-05)</w:t>
            </w:r>
          </w:p>
        </w:tc>
        <w:tc>
          <w:tcPr>
            <w:tcW w:type="dxa" w:w="1310"/>
          </w:tcPr>
          <w:p>
            <w:r>
              <w:rPr>
                <w:b w:val="false"/>
                <w:bCs w:val="false"/>
                <w:sz w:val="18"/>
                <w:szCs w:val="18"/>
              </w:rPr>
              <w:t xml:space="preserve">Not exercised; provider unavailable</w:t>
            </w:r>
          </w:p>
        </w:tc>
      </w:tr>
    </w:tbl>
    <w:p>
      <w:pPr>
        <w:spacing w:after="80"/>
      </w:pPr>
    </w:p>
    <w:p>
      <w:pPr>
        <w:spacing w:after="160"/>
      </w:pPr>
      <w:r>
        <w:rPr>
          <w:b/>
          <w:bCs/>
          <w:i w:val="false"/>
          <w:iCs w:val="false"/>
          <w:sz w:val="20"/>
          <w:szCs w:val="20"/>
        </w:rPr>
        <w:t xml:space="preserve">Total: 6 responses blocked outright and 201 tickets escalated by a safety gate, out of 580. Zero tickets flagged must_not_auto_respond received an automated answer, out of 101 such tickets.</w:t>
      </w:r>
    </w:p>
    <w:p>
      <w:r>
        <w:br w:type="page"/>
      </w:r>
    </w:p>
    <w:p>
      <w:pPr>
        <w:pStyle w:val="Heading1"/>
        <w:spacing w:after="150" w:before="300"/>
      </w:pPr>
      <w:r>
        <w:t xml:space="preserve">5. Incident response</w:t>
      </w:r>
    </w:p>
    <w:p>
      <w:pPr>
        <w:spacing w:after="160"/>
      </w:pPr>
      <w:r>
        <w:rPr>
          <w:b w:val="false"/>
          <w:bCs w:val="false"/>
          <w:i/>
          <w:iCs/>
          <w:sz w:val="20"/>
          <w:szCs w:val="20"/>
        </w:rPr>
        <w:t xml:space="preserve">Written to be followed at two in the morning by someone who did not build the system. That constraint is what forces the useful level of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9"/>
        <w:gridCol w:w="4939"/>
        <w:gridCol w:w="2218"/>
        <w:gridCol w:w="1814"/>
      </w:tblGrid>
      <w:tr>
        <w:trPr>
          <w:tblHeader/>
        </w:trPr>
        <w:tc>
          <w:tcPr>
            <w:tcW w:type="dxa" w:w="1109"/>
            <w:shd w:fill="DCE6F1" w:val="clear"/>
          </w:tcPr>
          <w:p>
            <w:r>
              <w:rPr>
                <w:b/>
                <w:bCs/>
                <w:sz w:val="18"/>
                <w:szCs w:val="18"/>
              </w:rPr>
              <w:t xml:space="preserve">Step</w:t>
            </w:r>
          </w:p>
        </w:tc>
        <w:tc>
          <w:tcPr>
            <w:tcW w:type="dxa" w:w="4939"/>
            <w:shd w:fill="DCE6F1" w:val="clear"/>
          </w:tcPr>
          <w:p>
            <w:r>
              <w:rPr>
                <w:b/>
                <w:bCs/>
                <w:sz w:val="18"/>
                <w:szCs w:val="18"/>
              </w:rPr>
              <w:t xml:space="preserve">What to do</w:t>
            </w:r>
          </w:p>
        </w:tc>
        <w:tc>
          <w:tcPr>
            <w:tcW w:type="dxa" w:w="2218"/>
            <w:shd w:fill="DCE6F1" w:val="clear"/>
          </w:tcPr>
          <w:p>
            <w:r>
              <w:rPr>
                <w:b/>
                <w:bCs/>
                <w:sz w:val="18"/>
                <w:szCs w:val="18"/>
              </w:rPr>
              <w:t xml:space="preserve">Who does it</w:t>
            </w:r>
          </w:p>
        </w:tc>
        <w:tc>
          <w:tcPr>
            <w:tcW w:type="dxa" w:w="1814"/>
            <w:shd w:fill="DCE6F1" w:val="clear"/>
          </w:tcPr>
          <w:p>
            <w:r>
              <w:rPr>
                <w:b/>
                <w:bCs/>
                <w:sz w:val="18"/>
                <w:szCs w:val="18"/>
              </w:rPr>
              <w:t xml:space="preserve">How long</w:t>
            </w:r>
          </w:p>
        </w:tc>
      </w:tr>
      <w:tr>
        <w:tc>
          <w:tcPr>
            <w:tcW w:type="dxa" w:w="1109"/>
          </w:tcPr>
          <w:p>
            <w:r>
              <w:rPr>
                <w:b/>
                <w:bCs/>
                <w:sz w:val="18"/>
                <w:szCs w:val="18"/>
              </w:rPr>
              <w:t xml:space="preserve">1. Detect</w:t>
            </w:r>
          </w:p>
        </w:tc>
        <w:tc>
          <w:tcPr>
            <w:tcW w:type="dxa" w:w="4939"/>
          </w:tcPr>
          <w:p>
            <w:r>
              <w:rPr>
                <w:b w:val="false"/>
                <w:bCs w:val="false"/>
                <w:sz w:val="18"/>
                <w:szCs w:val="18"/>
              </w:rPr>
              <w:t xml:space="preserve">An incident is: a customer reports a wrong or harmful automated answer; the guardrail block rate exceeds 5% of processed tickets; or the decision log stops reconciling against tickets processed. The first is reported by a person; the second and third appear in metrics_report.json on every run.</w:t>
            </w:r>
          </w:p>
        </w:tc>
        <w:tc>
          <w:tcPr>
            <w:tcW w:type="dxa" w:w="2218"/>
          </w:tcPr>
          <w:p>
            <w:r>
              <w:rPr>
                <w:b w:val="false"/>
                <w:bCs w:val="false"/>
                <w:sz w:val="18"/>
                <w:szCs w:val="18"/>
              </w:rPr>
              <w:t xml:space="preserve">Tier one agent, or whoever runs the evaluation</w:t>
            </w:r>
          </w:p>
        </w:tc>
        <w:tc>
          <w:tcPr>
            <w:tcW w:type="dxa" w:w="1814"/>
          </w:tcPr>
          <w:p>
            <w:r>
              <w:rPr>
                <w:b w:val="false"/>
                <w:bCs w:val="false"/>
                <w:sz w:val="18"/>
                <w:szCs w:val="18"/>
              </w:rPr>
              <w:t xml:space="preserve">Immediate on report; within one run otherwise</w:t>
            </w:r>
          </w:p>
        </w:tc>
      </w:tr>
      <w:tr>
        <w:tc>
          <w:tcPr>
            <w:tcW w:type="dxa" w:w="1109"/>
          </w:tcPr>
          <w:p>
            <w:r>
              <w:rPr>
                <w:b/>
                <w:bCs/>
                <w:sz w:val="18"/>
                <w:szCs w:val="18"/>
              </w:rPr>
              <w:t xml:space="preserve">2. Contain</w:t>
            </w:r>
          </w:p>
        </w:tc>
        <w:tc>
          <w:tcPr>
            <w:tcW w:type="dxa" w:w="4939"/>
          </w:tcPr>
          <w:p>
            <w:r>
              <w:rPr>
                <w:b w:val="false"/>
                <w:bCs w:val="false"/>
                <w:sz w:val="18"/>
                <w:szCs w:val="18"/>
              </w:rPr>
              <w:t xml:space="preserve">Engage the kill switch. Create a file named KILL_SWITCH_ENGAGED in the storage directory, containing a one-line note saying who engaged it and why. Automatic answering stops on the very next ticket. No deployment, no engineer, no code change.</w:t>
            </w:r>
          </w:p>
        </w:tc>
        <w:tc>
          <w:tcPr>
            <w:tcW w:type="dxa" w:w="2218"/>
          </w:tcPr>
          <w:p>
            <w:r>
              <w:rPr>
                <w:b w:val="false"/>
                <w:bCs w:val="false"/>
                <w:sz w:val="18"/>
                <w:szCs w:val="18"/>
              </w:rPr>
              <w:t xml:space="preserve">Any support manager</w:t>
            </w:r>
          </w:p>
        </w:tc>
        <w:tc>
          <w:tcPr>
            <w:tcW w:type="dxa" w:w="1814"/>
          </w:tcPr>
          <w:p>
            <w:r>
              <w:rPr>
                <w:b w:val="false"/>
                <w:bCs w:val="false"/>
                <w:sz w:val="18"/>
                <w:szCs w:val="18"/>
              </w:rPr>
              <w:t xml:space="preserve">Under one minute</w:t>
            </w:r>
          </w:p>
        </w:tc>
      </w:tr>
      <w:tr>
        <w:tc>
          <w:tcPr>
            <w:tcW w:type="dxa" w:w="1109"/>
          </w:tcPr>
          <w:p>
            <w:r>
              <w:rPr>
                <w:b/>
                <w:bCs/>
                <w:sz w:val="18"/>
                <w:szCs w:val="18"/>
              </w:rPr>
              <w:t xml:space="preserve">3. Assess</w:t>
            </w:r>
          </w:p>
        </w:tc>
        <w:tc>
          <w:tcPr>
            <w:tcW w:type="dxa" w:w="4939"/>
          </w:tcPr>
          <w:p>
            <w:r>
              <w:rPr>
                <w:b w:val="false"/>
                <w:bCs w:val="false"/>
                <w:sz w:val="18"/>
                <w:szCs w:val="18"/>
              </w:rPr>
              <w:t xml:space="preserve">Open storage/decisions.db and filter on the affected ticket_id. Every stage is recorded with its reason, the confidence, the threshold applied, the sources used, and the prompt version. Read the reason column first — it is written in plain language. Establish whether the behaviour was intended (a threshold working as designed) or a defect (a guardrail that should have fired and did not).</w:t>
            </w:r>
          </w:p>
        </w:tc>
        <w:tc>
          <w:tcPr>
            <w:tcW w:type="dxa" w:w="2218"/>
          </w:tcPr>
          <w:p>
            <w:r>
              <w:rPr>
                <w:b w:val="false"/>
                <w:bCs w:val="false"/>
                <w:sz w:val="18"/>
                <w:szCs w:val="18"/>
              </w:rPr>
              <w:t xml:space="preserve">Rajarajan Venkatesan, or the on-call engineer</w:t>
            </w:r>
          </w:p>
        </w:tc>
        <w:tc>
          <w:tcPr>
            <w:tcW w:type="dxa" w:w="1814"/>
          </w:tcPr>
          <w:p>
            <w:r>
              <w:rPr>
                <w:b w:val="false"/>
                <w:bCs w:val="false"/>
                <w:sz w:val="18"/>
                <w:szCs w:val="18"/>
              </w:rPr>
              <w:t xml:space="preserve">15 to 30 minutes</w:t>
            </w:r>
          </w:p>
        </w:tc>
      </w:tr>
      <w:tr>
        <w:tc>
          <w:tcPr>
            <w:tcW w:type="dxa" w:w="1109"/>
          </w:tcPr>
          <w:p>
            <w:r>
              <w:rPr>
                <w:b/>
                <w:bCs/>
                <w:sz w:val="18"/>
                <w:szCs w:val="18"/>
              </w:rPr>
              <w:t xml:space="preserve">4. Notify</w:t>
            </w:r>
          </w:p>
        </w:tc>
        <w:tc>
          <w:tcPr>
            <w:tcW w:type="dxa" w:w="4939"/>
          </w:tcPr>
          <w:p>
            <w:r>
              <w:rPr>
                <w:b w:val="false"/>
                <w:bCs w:val="false"/>
                <w:sz w:val="18"/>
                <w:szCs w:val="18"/>
              </w:rPr>
              <w:t xml:space="preserve">Tell the Head of Support what happened, how many customers were affected (count the decision log rows, do not estimate), and whether the kill switch is engaged. If any ticket flagged must_not_auto_respond received an automated answer, treat it as a governance failure and notify compliance the same day.</w:t>
            </w:r>
          </w:p>
        </w:tc>
        <w:tc>
          <w:tcPr>
            <w:tcW w:type="dxa" w:w="2218"/>
          </w:tcPr>
          <w:p>
            <w:r>
              <w:rPr>
                <w:b w:val="false"/>
                <w:bCs w:val="false"/>
                <w:sz w:val="18"/>
                <w:szCs w:val="18"/>
              </w:rPr>
              <w:t xml:space="preserve">Rajarajan Venkatesan</w:t>
            </w:r>
          </w:p>
        </w:tc>
        <w:tc>
          <w:tcPr>
            <w:tcW w:type="dxa" w:w="1814"/>
          </w:tcPr>
          <w:p>
            <w:r>
              <w:rPr>
                <w:b w:val="false"/>
                <w:bCs w:val="false"/>
                <w:sz w:val="18"/>
                <w:szCs w:val="18"/>
              </w:rPr>
              <w:t xml:space="preserve">Within one hour of assessment</w:t>
            </w:r>
          </w:p>
        </w:tc>
      </w:tr>
      <w:tr>
        <w:tc>
          <w:tcPr>
            <w:tcW w:type="dxa" w:w="1109"/>
          </w:tcPr>
          <w:p>
            <w:r>
              <w:rPr>
                <w:b/>
                <w:bCs/>
                <w:sz w:val="18"/>
                <w:szCs w:val="18"/>
              </w:rPr>
              <w:t xml:space="preserve">5. Remediate</w:t>
            </w:r>
          </w:p>
        </w:tc>
        <w:tc>
          <w:tcPr>
            <w:tcW w:type="dxa" w:w="4939"/>
          </w:tcPr>
          <w:p>
            <w:r>
              <w:rPr>
                <w:b w:val="false"/>
                <w:bCs w:val="false"/>
                <w:sz w:val="18"/>
                <w:szCs w:val="18"/>
              </w:rPr>
              <w:t xml:space="preserve">Fix the specific cause, not the symptom. If a threshold is implicated, do not simply raise it — the project's own experience is that raising a threshold to hide a safety leak cost 25 points of routing accuracy while fixing three detectors removed the leak entirely. Add a regression test that reproduces the incident before changing any code.</w:t>
            </w:r>
          </w:p>
        </w:tc>
        <w:tc>
          <w:tcPr>
            <w:tcW w:type="dxa" w:w="2218"/>
          </w:tcPr>
          <w:p>
            <w:r>
              <w:rPr>
                <w:b w:val="false"/>
                <w:bCs w:val="false"/>
                <w:sz w:val="18"/>
                <w:szCs w:val="18"/>
              </w:rPr>
              <w:t xml:space="preserve">Rajarajan Venkatesan</w:t>
            </w:r>
          </w:p>
        </w:tc>
        <w:tc>
          <w:tcPr>
            <w:tcW w:type="dxa" w:w="1814"/>
          </w:tcPr>
          <w:p>
            <w:r>
              <w:rPr>
                <w:b w:val="false"/>
                <w:bCs w:val="false"/>
                <w:sz w:val="18"/>
                <w:szCs w:val="18"/>
              </w:rPr>
              <w:t xml:space="preserve">Same day for a safety defect; next sprint otherwise</w:t>
            </w:r>
          </w:p>
        </w:tc>
      </w:tr>
      <w:tr>
        <w:tc>
          <w:tcPr>
            <w:tcW w:type="dxa" w:w="1109"/>
          </w:tcPr>
          <w:p>
            <w:r>
              <w:rPr>
                <w:b/>
                <w:bCs/>
                <w:sz w:val="18"/>
                <w:szCs w:val="18"/>
              </w:rPr>
              <w:t xml:space="preserve">6. Review</w:t>
            </w:r>
          </w:p>
        </w:tc>
        <w:tc>
          <w:tcPr>
            <w:tcW w:type="dxa" w:w="4939"/>
          </w:tcPr>
          <w:p>
            <w:r>
              <w:rPr>
                <w:b w:val="false"/>
                <w:bCs w:val="false"/>
                <w:sz w:val="18"/>
                <w:szCs w:val="18"/>
              </w:rPr>
              <w:t xml:space="preserve">Release the kill switch only after the regression test passes and a run over the full validation set shows zero must_not_auto_respond violations. Record the incident, its cause, and the test that now covers it. Add the failure mode to the risk register if it is not already there.</w:t>
            </w:r>
          </w:p>
        </w:tc>
        <w:tc>
          <w:tcPr>
            <w:tcW w:type="dxa" w:w="2218"/>
          </w:tcPr>
          <w:p>
            <w:r>
              <w:rPr>
                <w:b w:val="false"/>
                <w:bCs w:val="false"/>
                <w:sz w:val="18"/>
                <w:szCs w:val="18"/>
              </w:rPr>
              <w:t xml:space="preserve">Head of Support approves release</w:t>
            </w:r>
          </w:p>
        </w:tc>
        <w:tc>
          <w:tcPr>
            <w:tcW w:type="dxa" w:w="1814"/>
          </w:tcPr>
          <w:p>
            <w:r>
              <w:rPr>
                <w:b w:val="false"/>
                <w:bCs w:val="false"/>
                <w:sz w:val="18"/>
                <w:szCs w:val="18"/>
              </w:rPr>
              <w:t xml:space="preserve">Within one week</w:t>
            </w:r>
          </w:p>
        </w:tc>
      </w:tr>
    </w:tbl>
    <w:p>
      <w:r>
        <w:br w:type="page"/>
      </w:r>
    </w:p>
    <w:p>
      <w:pPr>
        <w:pStyle w:val="Heading1"/>
        <w:spacing w:after="150" w:before="300"/>
      </w:pPr>
      <w:r>
        <w:t xml:space="preserve">6. The kill switch</w:t>
      </w:r>
    </w:p>
    <w:p>
      <w:pPr>
        <w:spacing w:after="160"/>
      </w:pPr>
      <w:r>
        <w:rPr>
          <w:b w:val="false"/>
          <w:bCs w:val="false"/>
          <w:i/>
          <w:iCs/>
          <w:sz w:val="20"/>
          <w:szCs w:val="20"/>
        </w:rPr>
        <w:t xml:space="preserve">Built in version 2.0. Version one had no answer to the question this section asks, which the framework rightly calls a governance finding in itself.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DCE6F1" w:val="clear"/>
          </w:tcPr>
          <w:p>
            <w:r>
              <w:rPr>
                <w:b/>
                <w:bCs/>
                <w:sz w:val="18"/>
                <w:szCs w:val="18"/>
              </w:rPr>
              <w:t xml:space="preserve">Question</w:t>
            </w:r>
          </w:p>
        </w:tc>
        <w:tc>
          <w:tcPr>
            <w:tcW w:type="dxa" w:w="7459"/>
            <w:shd w:fill="DCE6F1" w:val="clear"/>
          </w:tcPr>
          <w:p>
            <w:r>
              <w:rPr>
                <w:b/>
                <w:bCs/>
                <w:sz w:val="18"/>
                <w:szCs w:val="18"/>
              </w:rPr>
              <w:t xml:space="preserve">Your answer</w:t>
            </w:r>
          </w:p>
        </w:tc>
      </w:tr>
      <w:tr>
        <w:tc>
          <w:tcPr>
            <w:tcW w:type="dxa" w:w="2621"/>
          </w:tcPr>
          <w:p>
            <w:r>
              <w:rPr>
                <w:b/>
                <w:bCs/>
                <w:sz w:val="18"/>
                <w:szCs w:val="18"/>
              </w:rPr>
              <w:t xml:space="preserve">What is the mechanism?</w:t>
            </w:r>
          </w:p>
        </w:tc>
        <w:tc>
          <w:tcPr>
            <w:tcW w:type="dxa" w:w="7459"/>
          </w:tcPr>
          <w:p>
            <w:r>
              <w:rPr>
                <w:b w:val="false"/>
                <w:bCs w:val="false"/>
                <w:sz w:val="18"/>
                <w:szCs w:val="18"/>
              </w:rPr>
              <w:t xml:space="preserve">The presence of a file named KILL_SWITCH_ENGAGED in the storage directory. Its existence is what matters; any contents are treated as a note explaining who engaged it and why, and that note is carried into the decision log. An environment variable, SUPPORT_SYSTEM_KILL_SWITCH, is honoured as well for container deployments where writing into a running image is awkward. Implemented in src/kill_switch.py.</w:t>
            </w:r>
          </w:p>
        </w:tc>
      </w:tr>
      <w:tr>
        <w:tc>
          <w:tcPr>
            <w:tcW w:type="dxa" w:w="2621"/>
          </w:tcPr>
          <w:p>
            <w:r>
              <w:rPr>
                <w:b/>
                <w:bCs/>
                <w:sz w:val="18"/>
                <w:szCs w:val="18"/>
              </w:rPr>
              <w:t xml:space="preserve">Who is authorised to use it?</w:t>
            </w:r>
          </w:p>
        </w:tc>
        <w:tc>
          <w:tcPr>
            <w:tcW w:type="dxa" w:w="7459"/>
          </w:tcPr>
          <w:p>
            <w:r>
              <w:rPr>
                <w:b w:val="false"/>
                <w:bCs w:val="false"/>
                <w:sz w:val="18"/>
                <w:szCs w:val="18"/>
              </w:rPr>
              <w:t xml:space="preserve">Any support manager, and any tier-one agent on shift. Deliberately not restricted to engineers. The control exists for the two-in-the-morning case, and a control that requires an engineer to be awake is not available at the time it is most needed. Releasing it is a narrower permission: the Head of Support approves, after a regression test passes.</w:t>
            </w:r>
          </w:p>
        </w:tc>
      </w:tr>
      <w:tr>
        <w:tc>
          <w:tcPr>
            <w:tcW w:type="dxa" w:w="2621"/>
          </w:tcPr>
          <w:p>
            <w:r>
              <w:rPr>
                <w:b/>
                <w:bCs/>
                <w:sz w:val="18"/>
                <w:szCs w:val="18"/>
              </w:rPr>
              <w:t xml:space="preserve">How long until it takes effect?</w:t>
            </w:r>
          </w:p>
        </w:tc>
        <w:tc>
          <w:tcPr>
            <w:tcW w:type="dxa" w:w="7459"/>
          </w:tcPr>
          <w:p>
            <w:r>
              <w:rPr>
                <w:b w:val="false"/>
                <w:bCs w:val="false"/>
                <w:sz w:val="18"/>
                <w:szCs w:val="18"/>
              </w:rPr>
              <w:t xml:space="preserve">The next ticket. The switch is read once per ticket rather than once per run, so it stops a run already in progress rather than only the next one. In practice that is seconds, bounded by however long the ticket in flight takes to finish.</w:t>
            </w:r>
          </w:p>
        </w:tc>
      </w:tr>
      <w:tr>
        <w:tc>
          <w:tcPr>
            <w:tcW w:type="dxa" w:w="2621"/>
          </w:tcPr>
          <w:p>
            <w:r>
              <w:rPr>
                <w:b/>
                <w:bCs/>
                <w:sz w:val="18"/>
                <w:szCs w:val="18"/>
              </w:rPr>
              <w:t xml:space="preserve">What happens to tickets in flight?</w:t>
            </w:r>
          </w:p>
        </w:tc>
        <w:tc>
          <w:tcPr>
            <w:tcW w:type="dxa" w:w="7459"/>
          </w:tcPr>
          <w:p>
            <w:r>
              <w:rPr>
                <w:b w:val="false"/>
                <w:bCs w:val="false"/>
                <w:sz w:val="18"/>
                <w:szCs w:val="18"/>
              </w:rPr>
              <w:t xml:space="preserve">Nothing is lost. The ticket being processed at the moment of engagement completes normally. Every subsequent ticket is escalated to a human with the reason recorded in the decision log, and the run continues to completion — which matters, because an unattended evaluation must still finish (A9). The switch stops automated answering, not processing.</w:t>
            </w:r>
          </w:p>
        </w:tc>
      </w:tr>
      <w:tr>
        <w:tc>
          <w:tcPr>
            <w:tcW w:type="dxa" w:w="2621"/>
          </w:tcPr>
          <w:p>
            <w:r>
              <w:rPr>
                <w:b/>
                <w:bCs/>
                <w:sz w:val="18"/>
                <w:szCs w:val="18"/>
              </w:rPr>
              <w:t xml:space="preserve">How is it tested?</w:t>
            </w:r>
          </w:p>
        </w:tc>
        <w:tc>
          <w:tcPr>
            <w:tcW w:type="dxa" w:w="7459"/>
          </w:tcPr>
          <w:p>
            <w:r>
              <w:rPr>
                <w:b w:val="false"/>
                <w:bCs w:val="false"/>
                <w:sz w:val="18"/>
                <w:szCs w:val="18"/>
              </w:rPr>
              <w:t xml:space="preserve">Eight automated tests in tests/test_kill_switch.py, run by the same single command as the rest of the suite. They cover: engaging stops automated answers; releasing resumes them without a redeploy; it takes effect mid-run; the environment variable works; the operator's note reaches the decision log; the decision is logged; and — most importantly — that it FAILS CLOSED. If the switch's state cannot be read at all, automatic answering is disabled. A control whose failure mode is to keep answering customers is worse than no control, because it creates confidence that is not warranted.</w:t>
            </w:r>
          </w:p>
        </w:tc>
      </w:tr>
    </w:tbl>
    <w:p>
      <w:r>
        <w:br w:type="page"/>
      </w:r>
    </w:p>
    <w:p>
      <w:pPr>
        <w:pStyle w:val="Heading1"/>
        <w:spacing w:after="150" w:before="300"/>
      </w:pPr>
      <w:r>
        <w:t xml:space="preserve">7. The declaration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CE6F1" w:val="clear"/>
          </w:tcPr>
          <w:p>
            <w:r>
              <w:rPr>
                <w:b/>
                <w:bCs/>
                <w:sz w:val="18"/>
                <w:szCs w:val="18"/>
              </w:rPr>
              <w:t xml:space="preserve">Statement</w:t>
            </w:r>
          </w:p>
        </w:tc>
        <w:tc>
          <w:tcPr>
            <w:tcW w:type="dxa" w:w="7661"/>
            <w:shd w:fill="DCE6F1" w:val="clear"/>
          </w:tcPr>
          <w:p>
            <w:r>
              <w:rPr>
                <w:b/>
                <w:bCs/>
                <w:sz w:val="18"/>
                <w:szCs w:val="18"/>
              </w:rPr>
              <w:t xml:space="preserve">Your position</w:t>
            </w:r>
          </w:p>
        </w:tc>
      </w:tr>
      <w:tr>
        <w:tc>
          <w:tcPr>
            <w:tcW w:type="dxa" w:w="2419"/>
          </w:tcPr>
          <w:p>
            <w:r>
              <w:rPr>
                <w:b/>
                <w:bCs/>
                <w:sz w:val="18"/>
                <w:szCs w:val="18"/>
              </w:rPr>
              <w:t xml:space="preserve">This system must never ...</w:t>
            </w:r>
          </w:p>
        </w:tc>
        <w:tc>
          <w:tcPr>
            <w:tcW w:type="dxa" w:w="7661"/>
          </w:tcPr>
          <w:p>
            <w:r>
              <w:rPr>
                <w:b w:val="false"/>
                <w:bCs w:val="false"/>
                <w:sz w:val="18"/>
                <w:szCs w:val="18"/>
              </w:rPr>
              <w:t xml:space="preserve">send an automated reply to a ticket concerning a security incident, a compliance or audit request, a billing dispute, a feature request, or a ticket too vague to understand — and must never make a claim it cannot trace to a specific reviewed documentation passage.</w:t>
            </w:r>
          </w:p>
        </w:tc>
      </w:tr>
      <w:tr>
        <w:tc>
          <w:tcPr>
            <w:tcW w:type="dxa" w:w="2419"/>
          </w:tcPr>
          <w:p>
            <w:r>
              <w:rPr>
                <w:b/>
                <w:bCs/>
                <w:sz w:val="18"/>
                <w:szCs w:val="18"/>
              </w:rPr>
              <w:t xml:space="preserve">The mechanism that enforces that is ...</w:t>
            </w:r>
          </w:p>
        </w:tc>
        <w:tc>
          <w:tcPr>
            <w:tcW w:type="dxa" w:w="7661"/>
          </w:tcPr>
          <w:p>
            <w:r>
              <w:rPr>
                <w:b w:val="false"/>
                <w:bCs w:val="false"/>
                <w:sz w:val="18"/>
                <w:szCs w:val="18"/>
              </w:rPr>
              <w:t xml:space="preserve">a hard-coded exclusion list in src/classify.py, applied as the FIRST routing gate before confidence is consulted, so that no confidence value and no injected instruction can defeat it; backed by an independent keyword net in src/route.py that reads the ticket text directly, because the classifier alone caught only 72% of such tickets; and by a guardrail layer that blocks any uncited claim without needing a model call. Measured across 580 tickets: zero of 101 must_not_auto_respond tickets received an automated answer.</w:t>
            </w:r>
          </w:p>
        </w:tc>
      </w:tr>
      <w:tr>
        <w:tc>
          <w:tcPr>
            <w:tcW w:type="dxa" w:w="2419"/>
          </w:tcPr>
          <w:p>
            <w:r>
              <w:rPr>
                <w:b/>
                <w:bCs/>
                <w:sz w:val="18"/>
                <w:szCs w:val="18"/>
              </w:rPr>
              <w:t xml:space="preserve">The most likely way it could still cause harm is ...</w:t>
            </w:r>
          </w:p>
        </w:tc>
        <w:tc>
          <w:tcPr>
            <w:tcW w:type="dxa" w:w="7661"/>
          </w:tcPr>
          <w:p>
            <w:r>
              <w:rPr>
                <w:b w:val="false"/>
                <w:bCs w:val="false"/>
                <w:sz w:val="18"/>
                <w:szCs w:val="18"/>
              </w:rPr>
              <w:t xml:space="preserve">a ticket whose danger is not visible in its vocabulary. Every control above depends on recognising that a ticket is sensitive — from its intent, or from the words in it. A customer who describes a serious security problem in entirely ordinary language, with no term on the safety list, would be classified as routine and could receive an automated answer. One such case was found during the build: 'a former employee appears to still have access' contained no security vocabulary at all. It was fixed by adding that phrasing, but the fix is specific; the class of failure remains. The second most likely is the fairness gap in F-01, where some customers are quietly served worse than others for reasons of phrasing rather than merit.</w:t>
            </w:r>
          </w:p>
        </w:tc>
      </w:tr>
      <w:tr>
        <w:tc>
          <w:tcPr>
            <w:tcW w:type="dxa" w:w="2419"/>
          </w:tcPr>
          <w:p>
            <w:r>
              <w:rPr>
                <w:b/>
                <w:bCs/>
                <w:sz w:val="18"/>
                <w:szCs w:val="18"/>
              </w:rPr>
              <w:t xml:space="preserve">We would not deploy this without first ...</w:t>
            </w:r>
          </w:p>
        </w:tc>
        <w:tc>
          <w:tcPr>
            <w:tcW w:type="dxa" w:w="7661"/>
          </w:tcPr>
          <w:p>
            <w:r>
              <w:rPr>
                <w:b w:val="false"/>
                <w:bCs w:val="false"/>
                <w:sz w:val="18"/>
                <w:szCs w:val="18"/>
              </w:rPr>
              <w:t xml:space="preserve">(1) resolving the 10.8 point regional gap in F-01, or accepting it explicitly with the Head of Support and stating it to affected customers; (2) running the system in shadow mode — producing answers and logging them, but sending nothing — for at least two weeks, with a tier-one agent reviewing a sample daily, because no amount of offline evaluation substitutes for a human reading what would actually have been sent; (3) confirming that every automated reply is visibly marked as automated, which the customer interviewed in discovery said is how he calibrates whether to act on an answer or verify it first; and (4) rehearsing the kill switch with the people authorised to use it, since an untested control is an assumption.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2026-09-14T18:15:08.589Z</dcterms:created>
  <dcterms:modified xsi:type="dcterms:W3CDTF">2026-09-14T18:15:08.589Z</dcterms:modified>
</cp:coreProperties>
</file>

<file path=docProps/custom.xml><?xml version="1.0" encoding="utf-8"?>
<Properties xmlns="http://schemas.openxmlformats.org/officeDocument/2006/custom-properties" xmlns:vt="http://schemas.openxmlformats.org/officeDocument/2006/docPropsVTypes"/>
</file>