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2"/>
          <w:szCs w:val="22"/>
        </w:rPr>
        <w:t xml:space="preserve">FORWARD DEPLOYED AI ENGINEERING</w:t>
      </w:r>
    </w:p>
    <w:p>
      <w:pPr>
        <w:spacing w:after="60"/>
        <w:jc w:val="center"/>
      </w:pPr>
      <w:r>
        <w:rPr>
          <w:sz w:val="20"/>
          <w:szCs w:val="20"/>
        </w:rPr>
        <w:t xml:space="preserve">Capstone Project — CloudServe Solutions</w:t>
      </w:r>
    </w:p>
    <w:p>
      <w:pPr>
        <w:spacing w:after="300"/>
        <w:jc w:val="center"/>
      </w:pPr>
      <w:r>
        <w:rPr>
          <w:b/>
          <w:bCs/>
          <w:sz w:val="32"/>
          <w:szCs w:val="32"/>
        </w:rPr>
        <w:t xml:space="preserve">Stage 5: PRD Revision Log</w:t>
      </w:r>
    </w:p>
    <w:p>
      <w:pPr>
        <w:pStyle w:val="Heading1"/>
        <w:spacing w:after="150" w:before="300"/>
      </w:pPr>
      <w:r>
        <w:t xml:space="preserve">1. Revision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rPr>
          <w:tblHeader/>
        </w:trPr>
        <w:tc>
          <w:tcPr>
            <w:tcW w:type="dxa" w:w="3226"/>
            <w:shd w:fill="DCE6F1" w:val="clear"/>
          </w:tcPr>
          <w:p>
            <w:r>
              <w:rPr>
                <w:b/>
                <w:bCs/>
                <w:sz w:val="18"/>
                <w:szCs w:val="18"/>
              </w:rPr>
              <w:t xml:space="preserve">Field</w:t>
            </w:r>
          </w:p>
        </w:tc>
        <w:tc>
          <w:tcPr>
            <w:tcW w:type="dxa" w:w="6854"/>
            <w:shd w:fill="DCE6F1" w:val="clear"/>
          </w:tcPr>
          <w:p>
            <w:r>
              <w:rPr>
                <w:b/>
                <w:bCs/>
                <w:sz w:val="18"/>
                <w:szCs w:val="18"/>
              </w:rPr>
              <w:t xml:space="preserve">Value</w:t>
            </w:r>
          </w:p>
        </w:tc>
      </w:tr>
      <w:tr>
        <w:tc>
          <w:tcPr>
            <w:tcW w:type="dxa" w:w="3226"/>
          </w:tcPr>
          <w:p>
            <w:r>
              <w:rPr>
                <w:b/>
                <w:bCs/>
                <w:sz w:val="18"/>
                <w:szCs w:val="18"/>
              </w:rPr>
              <w:t xml:space="preserve">New version number</w:t>
            </w:r>
          </w:p>
        </w:tc>
        <w:tc>
          <w:tcPr>
            <w:tcW w:type="dxa" w:w="6854"/>
          </w:tcPr>
          <w:p>
            <w:r>
              <w:rPr>
                <w:b w:val="false"/>
                <w:bCs w:val="false"/>
                <w:sz w:val="18"/>
                <w:szCs w:val="18"/>
              </w:rPr>
              <w:t xml:space="preserve">2.0</w:t>
            </w:r>
          </w:p>
        </w:tc>
      </w:tr>
      <w:tr>
        <w:tc>
          <w:tcPr>
            <w:tcW w:type="dxa" w:w="3226"/>
          </w:tcPr>
          <w:p>
            <w:r>
              <w:rPr>
                <w:b/>
                <w:bCs/>
                <w:sz w:val="18"/>
                <w:szCs w:val="18"/>
              </w:rPr>
              <w:t xml:space="preserve">Date of revision</w:t>
            </w:r>
          </w:p>
        </w:tc>
        <w:tc>
          <w:tcPr>
            <w:tcW w:type="dxa" w:w="6854"/>
          </w:tcPr>
          <w:p>
            <w:r>
              <w:rPr>
                <w:b w:val="false"/>
                <w:bCs w:val="false"/>
                <w:sz w:val="18"/>
                <w:szCs w:val="18"/>
              </w:rPr>
              <w:t xml:space="preserve">16 September 2026</w:t>
            </w:r>
          </w:p>
        </w:tc>
      </w:tr>
      <w:tr>
        <w:tc>
          <w:tcPr>
            <w:tcW w:type="dxa" w:w="3226"/>
          </w:tcPr>
          <w:p>
            <w:r>
              <w:rPr>
                <w:b/>
                <w:bCs/>
                <w:sz w:val="18"/>
                <w:szCs w:val="18"/>
              </w:rPr>
              <w:t xml:space="preserve">Who carried out the revision</w:t>
            </w:r>
          </w:p>
        </w:tc>
        <w:tc>
          <w:tcPr>
            <w:tcW w:type="dxa" w:w="6854"/>
          </w:tcPr>
          <w:p>
            <w:r>
              <w:rPr>
                <w:b w:val="false"/>
                <w:bCs w:val="false"/>
                <w:sz w:val="18"/>
                <w:szCs w:val="18"/>
              </w:rPr>
              <w:t xml:space="preserve">Rajarajan Venkatesan</w:t>
            </w:r>
          </w:p>
        </w:tc>
      </w:tr>
      <w:tr>
        <w:tc>
          <w:tcPr>
            <w:tcW w:type="dxa" w:w="3226"/>
          </w:tcPr>
          <w:p>
            <w:r>
              <w:rPr>
                <w:b/>
                <w:bCs/>
                <w:sz w:val="18"/>
                <w:szCs w:val="18"/>
              </w:rPr>
              <w:t xml:space="preserve">Who reviewed and agreed it</w:t>
            </w:r>
          </w:p>
        </w:tc>
        <w:tc>
          <w:tcPr>
            <w:tcW w:type="dxa" w:w="6854"/>
          </w:tcPr>
          <w:p>
            <w:r>
              <w:rPr>
                <w:b w:val="false"/>
                <w:bCs w:val="false"/>
                <w:sz w:val="18"/>
                <w:szCs w:val="18"/>
              </w:rPr>
              <w:t xml:space="preserve">Reviewed against the gate run metrics report of 14 September; discussed with the course coordinator at the 15 September review</w:t>
            </w:r>
          </w:p>
        </w:tc>
      </w:tr>
      <w:tr>
        <w:tc>
          <w:tcPr>
            <w:tcW w:type="dxa" w:w="3226"/>
          </w:tcPr>
          <w:p>
            <w:r>
              <w:rPr>
                <w:b/>
                <w:bCs/>
                <w:sz w:val="18"/>
                <w:szCs w:val="18"/>
              </w:rPr>
              <w:t xml:space="preserve">Number of requirements changed</w:t>
            </w:r>
          </w:p>
        </w:tc>
        <w:tc>
          <w:tcPr>
            <w:tcW w:type="dxa" w:w="6854"/>
          </w:tcPr>
          <w:p>
            <w:r>
              <w:rPr>
                <w:b w:val="false"/>
                <w:bCs w:val="false"/>
                <w:sz w:val="18"/>
                <w:szCs w:val="18"/>
              </w:rPr>
              <w:t xml:space="preserve">4 (FR-03, FR-04, FR-07, NFR-02)</w:t>
            </w:r>
          </w:p>
        </w:tc>
      </w:tr>
      <w:tr>
        <w:tc>
          <w:tcPr>
            <w:tcW w:type="dxa" w:w="3226"/>
          </w:tcPr>
          <w:p>
            <w:r>
              <w:rPr>
                <w:b/>
                <w:bCs/>
                <w:sz w:val="18"/>
                <w:szCs w:val="18"/>
              </w:rPr>
              <w:t xml:space="preserve">Number of requirements added</w:t>
            </w:r>
          </w:p>
        </w:tc>
        <w:tc>
          <w:tcPr>
            <w:tcW w:type="dxa" w:w="6854"/>
          </w:tcPr>
          <w:p>
            <w:r>
              <w:rPr>
                <w:b w:val="false"/>
                <w:bCs w:val="false"/>
                <w:sz w:val="18"/>
                <w:szCs w:val="18"/>
              </w:rPr>
              <w:t xml:space="preserve">2 (FR-13 independent safety net, FR-14 kill switch)</w:t>
            </w:r>
          </w:p>
        </w:tc>
      </w:tr>
      <w:tr>
        <w:tc>
          <w:tcPr>
            <w:tcW w:type="dxa" w:w="3226"/>
          </w:tcPr>
          <w:p>
            <w:r>
              <w:rPr>
                <w:b/>
                <w:bCs/>
                <w:sz w:val="18"/>
                <w:szCs w:val="18"/>
              </w:rPr>
              <w:t xml:space="preserve">Number of requirements removed</w:t>
            </w:r>
          </w:p>
        </w:tc>
        <w:tc>
          <w:tcPr>
            <w:tcW w:type="dxa" w:w="6854"/>
          </w:tcPr>
          <w:p>
            <w:r>
              <w:rPr>
                <w:b w:val="false"/>
                <w:bCs w:val="false"/>
                <w:sz w:val="18"/>
                <w:szCs w:val="18"/>
              </w:rPr>
              <w:t xml:space="preserve">0</w:t>
            </w:r>
          </w:p>
        </w:tc>
      </w:tr>
    </w:tbl>
    <w:p>
      <w:pPr>
        <w:spacing w:after="80"/>
      </w:pPr>
    </w:p>
    <w:p>
      <w:pPr>
        <w:spacing w:after="160"/>
      </w:pPr>
      <w:r>
        <w:rPr>
          <w:b w:val="false"/>
          <w:bCs w:val="false"/>
          <w:i/>
          <w:iCs/>
          <w:sz w:val="20"/>
          <w:szCs w:val="20"/>
        </w:rPr>
        <w:t xml:space="preserve">Every change below was triggered by something measured during the build, not by re-reading the document. The trigger column is the substance of this log.</w:t>
      </w:r>
    </w:p>
    <w:p>
      <w:r>
        <w:br w:type="page"/>
      </w:r>
    </w:p>
    <w:p>
      <w:pPr>
        <w:pStyle w:val="Heading1"/>
        <w:spacing w:after="150" w:before="300"/>
      </w:pPr>
      <w:r>
        <w:t xml:space="preserve">2. The changes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6"/>
        <w:gridCol w:w="2621"/>
        <w:gridCol w:w="2419"/>
        <w:gridCol w:w="3226"/>
        <w:gridCol w:w="1109"/>
      </w:tblGrid>
      <w:tr>
        <w:trPr>
          <w:tblHeader/>
        </w:trPr>
        <w:tc>
          <w:tcPr>
            <w:tcW w:type="dxa" w:w="706"/>
            <w:shd w:fill="DCE6F1" w:val="clear"/>
          </w:tcPr>
          <w:p>
            <w:r>
              <w:rPr>
                <w:b/>
                <w:bCs/>
                <w:sz w:val="18"/>
                <w:szCs w:val="18"/>
              </w:rPr>
              <w:t xml:space="preserve">Req ID</w:t>
            </w:r>
          </w:p>
        </w:tc>
        <w:tc>
          <w:tcPr>
            <w:tcW w:type="dxa" w:w="2621"/>
            <w:shd w:fill="DCE6F1" w:val="clear"/>
          </w:tcPr>
          <w:p>
            <w:r>
              <w:rPr>
                <w:b/>
                <w:bCs/>
                <w:sz w:val="18"/>
                <w:szCs w:val="18"/>
              </w:rPr>
              <w:t xml:space="preserve">What it said in version one</w:t>
            </w:r>
          </w:p>
        </w:tc>
        <w:tc>
          <w:tcPr>
            <w:tcW w:type="dxa" w:w="2419"/>
            <w:shd w:fill="DCE6F1" w:val="clear"/>
          </w:tcPr>
          <w:p>
            <w:r>
              <w:rPr>
                <w:b/>
                <w:bCs/>
                <w:sz w:val="18"/>
                <w:szCs w:val="18"/>
              </w:rPr>
              <w:t xml:space="preserve">What it says now</w:t>
            </w:r>
          </w:p>
        </w:tc>
        <w:tc>
          <w:tcPr>
            <w:tcW w:type="dxa" w:w="3226"/>
            <w:shd w:fill="DCE6F1" w:val="clear"/>
          </w:tcPr>
          <w:p>
            <w:r>
              <w:rPr>
                <w:b/>
                <w:bCs/>
                <w:sz w:val="18"/>
                <w:szCs w:val="18"/>
              </w:rPr>
              <w:t xml:space="preserve">What prompted the change</w:t>
            </w:r>
          </w:p>
        </w:tc>
        <w:tc>
          <w:tcPr>
            <w:tcW w:type="dxa" w:w="1109"/>
            <w:shd w:fill="DCE6F1" w:val="clear"/>
          </w:tcPr>
          <w:p>
            <w:r>
              <w:rPr>
                <w:b/>
                <w:bCs/>
                <w:sz w:val="18"/>
                <w:szCs w:val="18"/>
              </w:rPr>
              <w:t xml:space="preserve">Agreed by</w:t>
            </w:r>
          </w:p>
        </w:tc>
      </w:tr>
      <w:tr>
        <w:tc>
          <w:tcPr>
            <w:tcW w:type="dxa" w:w="706"/>
          </w:tcPr>
          <w:p>
            <w:r>
              <w:rPr>
                <w:b w:val="false"/>
                <w:bCs w:val="false"/>
                <w:sz w:val="18"/>
                <w:szCs w:val="18"/>
              </w:rPr>
              <w:t xml:space="preserve">FR-03</w:t>
            </w:r>
          </w:p>
        </w:tc>
        <w:tc>
          <w:tcPr>
            <w:tcW w:type="dxa" w:w="2621"/>
          </w:tcPr>
          <w:p>
            <w:r>
              <w:rPr>
                <w:b w:val="false"/>
                <w:bCs w:val="false"/>
                <w:sz w:val="18"/>
                <w:szCs w:val="18"/>
              </w:rPr>
              <w:t xml:space="preserve">Retrieval applies a relevance threshold and returns nothing rather than a weak match. The threshold was to be tuned so that the score distinguished answerable from unanswerable tickets.</w:t>
            </w:r>
          </w:p>
        </w:tc>
        <w:tc>
          <w:tcPr>
            <w:tcW w:type="dxa" w:w="2419"/>
          </w:tcPr>
          <w:p>
            <w:r>
              <w:rPr>
                <w:b w:val="false"/>
                <w:bCs w:val="false"/>
                <w:sz w:val="18"/>
                <w:szCs w:val="18"/>
              </w:rPr>
              <w:t xml:space="preserve">Retrieval applies a relevance threshold of 0.12, chosen to maximise recall rather than precision. Answerability is decided by INTENT, not by retrieval score. The router excludes never-automate intents before the score is consulted at all.</w:t>
            </w:r>
          </w:p>
        </w:tc>
        <w:tc>
          <w:tcPr>
            <w:tcW w:type="dxa" w:w="3226"/>
          </w:tcPr>
          <w:p>
            <w:r>
              <w:rPr>
                <w:b w:val="false"/>
                <w:bCs w:val="false"/>
                <w:sz w:val="18"/>
                <w:szCs w:val="18"/>
              </w:rPr>
              <w:t xml:space="preserve">Measured every threshold from 0.00 to 0.40 across the 500 development tickets. Precision never exceeded 78% at any value, and buying those points cost more than half of recall. The cause was visible in the data: feature_request tickets score a median of 0.285, HIGHER than the median answerable ticket at 0.280, because a customer requesting a feature discusses real product areas in the documentation's own vocabulary. No similarity cut-off can separate the two.</w:t>
            </w:r>
          </w:p>
        </w:tc>
        <w:tc>
          <w:tcPr>
            <w:tcW w:type="dxa" w:w="1109"/>
          </w:tcPr>
          <w:p>
            <w:r>
              <w:rPr>
                <w:b w:val="false"/>
                <w:bCs w:val="false"/>
                <w:sz w:val="18"/>
                <w:szCs w:val="18"/>
              </w:rPr>
              <w:t xml:space="preserve">Rajarajan Venkatesan</w:t>
            </w:r>
          </w:p>
        </w:tc>
      </w:tr>
      <w:tr>
        <w:tc>
          <w:tcPr>
            <w:tcW w:type="dxa" w:w="706"/>
          </w:tcPr>
          <w:p>
            <w:r>
              <w:rPr>
                <w:b w:val="false"/>
                <w:bCs w:val="false"/>
                <w:sz w:val="18"/>
                <w:szCs w:val="18"/>
              </w:rPr>
              <w:t xml:space="preserve">FR-04</w:t>
            </w:r>
          </w:p>
        </w:tc>
        <w:tc>
          <w:tcPr>
            <w:tcW w:type="dxa" w:w="2621"/>
          </w:tcPr>
          <w:p>
            <w:r>
              <w:rPr>
                <w:b w:val="false"/>
                <w:bCs w:val="false"/>
                <w:sz w:val="18"/>
                <w:szCs w:val="18"/>
              </w:rPr>
              <w:t xml:space="preserve">Routing decides between auto-respond and escalate using a confidence threshold derived from data, applied deterministically.</w:t>
            </w:r>
          </w:p>
        </w:tc>
        <w:tc>
          <w:tcPr>
            <w:tcW w:type="dxa" w:w="2419"/>
          </w:tcPr>
          <w:p>
            <w:r>
              <w:rPr>
                <w:b w:val="false"/>
                <w:bCs w:val="false"/>
                <w:sz w:val="18"/>
                <w:szCs w:val="18"/>
              </w:rPr>
              <w:t xml:space="preserve">Routing applies FOUR gates in a fixed order — never-automate intent, safety keyword, no retrieval, then confidence — and the first that fires decides. Safety gates run before the confidence gate. The threshold is 0.45.</w:t>
            </w:r>
          </w:p>
        </w:tc>
        <w:tc>
          <w:tcPr>
            <w:tcW w:type="dxa" w:w="3226"/>
          </w:tcPr>
          <w:p>
            <w:r>
              <w:rPr>
                <w:b w:val="false"/>
                <w:bCs w:val="false"/>
                <w:sz w:val="18"/>
                <w:szCs w:val="18"/>
              </w:rPr>
              <w:t xml:space="preserve">At the original single-threshold design, 23 tickets flagged must_not_auto_respond were auto-answered on the development set. Raising the threshold to 0.75 eliminated them but dropped routing accuracy from 75% to 50%. Ordering the gates so safety precedes confidence removed the violations at every threshold instead, recovering 25 percentage points of accuracy.</w:t>
            </w:r>
          </w:p>
        </w:tc>
        <w:tc>
          <w:tcPr>
            <w:tcW w:type="dxa" w:w="1109"/>
          </w:tcPr>
          <w:p>
            <w:r>
              <w:rPr>
                <w:b w:val="false"/>
                <w:bCs w:val="false"/>
                <w:sz w:val="18"/>
                <w:szCs w:val="18"/>
              </w:rPr>
              <w:t xml:space="preserve">Rajarajan Venkatesan</w:t>
            </w:r>
          </w:p>
        </w:tc>
      </w:tr>
      <w:tr>
        <w:tc>
          <w:tcPr>
            <w:tcW w:type="dxa" w:w="706"/>
          </w:tcPr>
          <w:p>
            <w:r>
              <w:rPr>
                <w:b w:val="false"/>
                <w:bCs w:val="false"/>
                <w:sz w:val="18"/>
                <w:szCs w:val="18"/>
              </w:rPr>
              <w:t xml:space="preserve">FR-07</w:t>
            </w:r>
          </w:p>
        </w:tc>
        <w:tc>
          <w:tcPr>
            <w:tcW w:type="dxa" w:w="2621"/>
          </w:tcPr>
          <w:p>
            <w:r>
              <w:rPr>
                <w:b w:val="false"/>
                <w:bCs w:val="false"/>
                <w:sz w:val="18"/>
                <w:szCs w:val="18"/>
              </w:rPr>
              <w:t xml:space="preserve">At least one guardrail runs on every response and can block it, checking for private data and for claims unsupported by the retrieved sources.</w:t>
            </w:r>
          </w:p>
        </w:tc>
        <w:tc>
          <w:tcPr>
            <w:tcW w:type="dxa" w:w="2419"/>
          </w:tcPr>
          <w:p>
            <w:r>
              <w:rPr>
                <w:b w:val="false"/>
                <w:bCs w:val="false"/>
                <w:sz w:val="18"/>
                <w:szCs w:val="18"/>
              </w:rPr>
              <w:t xml:space="preserve">Guardrails run in TWO layers, deterministic rules first and the model check second. The deterministic layer can block with no model call at all, and checks five categories: private data, forbidden commitments, misattributed citations, ungrounded claims, and false agency.</w:t>
            </w:r>
          </w:p>
        </w:tc>
        <w:tc>
          <w:tcPr>
            <w:tcW w:type="dxa" w:w="3226"/>
          </w:tcPr>
          <w:p>
            <w:r>
              <w:rPr>
                <w:b w:val="false"/>
                <w:bCs w:val="false"/>
                <w:sz w:val="18"/>
                <w:szCs w:val="18"/>
              </w:rPr>
              <w:t xml:space="preserve">Writing the outage test made the dependency obvious: a guardrail that requires the model provider to be reachable is not a guardrail at the exact moment it is most needed. During the evaluation the provider was in fact unavailable throughout, and every block the system performed was performed by the deterministic layer.</w:t>
            </w:r>
          </w:p>
        </w:tc>
        <w:tc>
          <w:tcPr>
            <w:tcW w:type="dxa" w:w="1109"/>
          </w:tcPr>
          <w:p>
            <w:r>
              <w:rPr>
                <w:b w:val="false"/>
                <w:bCs w:val="false"/>
                <w:sz w:val="18"/>
                <w:szCs w:val="18"/>
              </w:rPr>
              <w:t xml:space="preserve">Rajarajan Venkatesan</w:t>
            </w:r>
          </w:p>
        </w:tc>
      </w:tr>
      <w:tr>
        <w:tc>
          <w:tcPr>
            <w:tcW w:type="dxa" w:w="706"/>
          </w:tcPr>
          <w:p>
            <w:r>
              <w:rPr>
                <w:b w:val="false"/>
                <w:bCs w:val="false"/>
                <w:sz w:val="18"/>
                <w:szCs w:val="18"/>
              </w:rPr>
              <w:t xml:space="preserve">NFR-02</w:t>
            </w:r>
          </w:p>
        </w:tc>
        <w:tc>
          <w:tcPr>
            <w:tcW w:type="dxa" w:w="2621"/>
          </w:tcPr>
          <w:p>
            <w:r>
              <w:rPr>
                <w:b w:val="false"/>
                <w:bCs w:val="false"/>
                <w:sz w:val="18"/>
                <w:szCs w:val="18"/>
              </w:rPr>
              <w:t xml:space="preserve">The system degrades gracefully rather than crashing under provider timeout, outage, rate limiting or malformed input.</w:t>
            </w:r>
          </w:p>
        </w:tc>
        <w:tc>
          <w:tcPr>
            <w:tcW w:type="dxa" w:w="2419"/>
          </w:tcPr>
          <w:p>
            <w:r>
              <w:rPr>
                <w:b w:val="false"/>
                <w:bCs w:val="false"/>
                <w:sz w:val="18"/>
                <w:szCs w:val="18"/>
              </w:rPr>
              <w:t xml:space="preserve">As before, plus a circuit breaker: after three consecutive provider failures the client stops calling out for the remainder of the run and serves every ticket from the deterministic path.</w:t>
            </w:r>
          </w:p>
        </w:tc>
        <w:tc>
          <w:tcPr>
            <w:tcW w:type="dxa" w:w="3226"/>
          </w:tcPr>
          <w:p>
            <w:r>
              <w:rPr>
                <w:b w:val="false"/>
                <w:bCs w:val="false"/>
                <w:sz w:val="18"/>
                <w:szCs w:val="18"/>
              </w:rPr>
              <w:t xml:space="preserve">Measured, not reasoned. With the provider unreachable, twenty tickets took 23 seconds because each independently burned a four-attempt retry budget. Extrapolated to 580 tickets that is over two hours spent rediscovering the same outage — the difference between clearing A9 during an outage and failing it on time.</w:t>
            </w:r>
          </w:p>
        </w:tc>
        <w:tc>
          <w:tcPr>
            <w:tcW w:type="dxa" w:w="1109"/>
          </w:tcPr>
          <w:p>
            <w:r>
              <w:rPr>
                <w:b w:val="false"/>
                <w:bCs w:val="false"/>
                <w:sz w:val="18"/>
                <w:szCs w:val="18"/>
              </w:rPr>
              <w:t xml:space="preserve">Rajarajan Venkatesan</w:t>
            </w:r>
          </w:p>
        </w:tc>
      </w:tr>
      <w:tr>
        <w:tc>
          <w:tcPr>
            <w:tcW w:type="dxa" w:w="706"/>
          </w:tcPr>
          <w:p>
            <w:r>
              <w:rPr>
                <w:b w:val="false"/>
                <w:bCs w:val="false"/>
                <w:sz w:val="18"/>
                <w:szCs w:val="18"/>
              </w:rPr>
              <w:t xml:space="preserve">FR-13 (new)</w:t>
            </w:r>
          </w:p>
        </w:tc>
        <w:tc>
          <w:tcPr>
            <w:tcW w:type="dxa" w:w="2621"/>
          </w:tcPr>
          <w:p>
            <w:r>
              <w:rPr>
                <w:b w:val="false"/>
                <w:bCs w:val="false"/>
                <w:sz w:val="18"/>
                <w:szCs w:val="18"/>
              </w:rPr>
              <w:t xml:space="preserve">— did not exist —</w:t>
            </w:r>
          </w:p>
        </w:tc>
        <w:tc>
          <w:tcPr>
            <w:tcW w:type="dxa" w:w="2419"/>
          </w:tcPr>
          <w:p>
            <w:r>
              <w:rPr>
                <w:b w:val="false"/>
                <w:bCs w:val="false"/>
                <w:sz w:val="18"/>
                <w:szCs w:val="18"/>
              </w:rPr>
              <w:t xml:space="preserve">The router reads the ticket text directly for unambiguous security, legal and billing vocabulary, independently of what the classifier concluded, and escalates on a match.</w:t>
            </w:r>
          </w:p>
        </w:tc>
        <w:tc>
          <w:tcPr>
            <w:tcW w:type="dxa" w:w="3226"/>
          </w:tcPr>
          <w:p>
            <w:r>
              <w:rPr>
                <w:b w:val="false"/>
                <w:bCs w:val="false"/>
                <w:sz w:val="18"/>
                <w:szCs w:val="18"/>
              </w:rPr>
              <w:t xml:space="preserve">The offline classifier caught only 72% of tickets flagged must_not_auto_respond. Relying on classification alone would have auto-answered roughly a quarter of the tickets that must never be auto-answered. A cheap deterministic net under a probabilistic component closed the gap to zero.</w:t>
            </w:r>
          </w:p>
        </w:tc>
        <w:tc>
          <w:tcPr>
            <w:tcW w:type="dxa" w:w="1109"/>
          </w:tcPr>
          <w:p>
            <w:r>
              <w:rPr>
                <w:b w:val="false"/>
                <w:bCs w:val="false"/>
                <w:sz w:val="18"/>
                <w:szCs w:val="18"/>
              </w:rPr>
              <w:t xml:space="preserve">Rajarajan Venkatesan</w:t>
            </w:r>
          </w:p>
        </w:tc>
      </w:tr>
      <w:tr>
        <w:tc>
          <w:tcPr>
            <w:tcW w:type="dxa" w:w="706"/>
          </w:tcPr>
          <w:p>
            <w:r>
              <w:rPr>
                <w:b w:val="false"/>
                <w:bCs w:val="false"/>
                <w:sz w:val="18"/>
                <w:szCs w:val="18"/>
              </w:rPr>
              <w:t xml:space="preserve">FR-14 (new)</w:t>
            </w:r>
          </w:p>
        </w:tc>
        <w:tc>
          <w:tcPr>
            <w:tcW w:type="dxa" w:w="2621"/>
          </w:tcPr>
          <w:p>
            <w:r>
              <w:rPr>
                <w:b w:val="false"/>
                <w:bCs w:val="false"/>
                <w:sz w:val="18"/>
                <w:szCs w:val="18"/>
              </w:rPr>
              <w:t xml:space="preserve">— did not exist —</w:t>
            </w:r>
          </w:p>
        </w:tc>
        <w:tc>
          <w:tcPr>
            <w:tcW w:type="dxa" w:w="2419"/>
          </w:tcPr>
          <w:p>
            <w:r>
              <w:rPr>
                <w:b w:val="false"/>
                <w:bCs w:val="false"/>
                <w:sz w:val="18"/>
                <w:szCs w:val="18"/>
              </w:rPr>
              <w:t xml:space="preserve">A kill switch stops automatic answering immediately, without a deployment, checked per ticket. It fails closed: if its state cannot be read, automatic answering is disabled.</w:t>
            </w:r>
          </w:p>
        </w:tc>
        <w:tc>
          <w:tcPr>
            <w:tcW w:type="dxa" w:w="3226"/>
          </w:tcPr>
          <w:p>
            <w:r>
              <w:rPr>
                <w:b w:val="false"/>
                <w:bCs w:val="false"/>
                <w:sz w:val="18"/>
                <w:szCs w:val="18"/>
              </w:rPr>
              <w:t xml:space="preserve">The Governance Framework asks what in the design would stop a plausible harm. Version one had no answer that was not 'redeploy with a changed configuration', which a support manager cannot do at two in the morning. Writing the governance document surfaced the gap; the control was built before the document claimed it existed.</w:t>
            </w:r>
          </w:p>
        </w:tc>
        <w:tc>
          <w:tcPr>
            <w:tcW w:type="dxa" w:w="1109"/>
          </w:tcPr>
          <w:p>
            <w:r>
              <w:rPr>
                <w:b w:val="false"/>
                <w:bCs w:val="false"/>
                <w:sz w:val="18"/>
                <w:szCs w:val="18"/>
              </w:rPr>
              <w:t xml:space="preserve">Rajarajan Venkatesan</w:t>
            </w:r>
          </w:p>
        </w:tc>
      </w:tr>
    </w:tbl>
    <w:p>
      <w:r>
        <w:br w:type="page"/>
      </w:r>
    </w:p>
    <w:p>
      <w:pPr>
        <w:pStyle w:val="Heading1"/>
        <w:spacing w:after="150" w:before="300"/>
      </w:pPr>
      <w:r>
        <w:t xml:space="preserve">3. Assumptions that turned out to be wrong</w:t>
      </w:r>
    </w:p>
    <w:p>
      <w:pPr>
        <w:spacing w:after="160"/>
      </w:pPr>
      <w:r>
        <w:rPr>
          <w:b w:val="false"/>
          <w:bCs w:val="false"/>
          <w:i/>
          <w:iCs/>
          <w:sz w:val="20"/>
          <w:szCs w:val="20"/>
        </w:rPr>
        <w:t xml:space="preserve">From Section 7 of PRD v1.0. Two held, two did not, and the two that failed changed the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1008"/>
        <w:gridCol w:w="3427"/>
        <w:gridCol w:w="3024"/>
      </w:tblGrid>
      <w:tr>
        <w:trPr>
          <w:tblHeader/>
        </w:trPr>
        <w:tc>
          <w:tcPr>
            <w:tcW w:type="dxa" w:w="2621"/>
            <w:shd w:fill="DCE6F1" w:val="clear"/>
          </w:tcPr>
          <w:p>
            <w:r>
              <w:rPr>
                <w:b/>
                <w:bCs/>
                <w:sz w:val="18"/>
                <w:szCs w:val="18"/>
              </w:rPr>
              <w:t xml:space="preserve">Assumption from version one</w:t>
            </w:r>
          </w:p>
        </w:tc>
        <w:tc>
          <w:tcPr>
            <w:tcW w:type="dxa" w:w="1008"/>
            <w:shd w:fill="DCE6F1" w:val="clear"/>
          </w:tcPr>
          <w:p>
            <w:r>
              <w:rPr>
                <w:b/>
                <w:bCs/>
                <w:sz w:val="18"/>
                <w:szCs w:val="18"/>
              </w:rPr>
              <w:t xml:space="preserve">Did it hold?</w:t>
            </w:r>
          </w:p>
        </w:tc>
        <w:tc>
          <w:tcPr>
            <w:tcW w:type="dxa" w:w="3427"/>
            <w:shd w:fill="DCE6F1" w:val="clear"/>
          </w:tcPr>
          <w:p>
            <w:r>
              <w:rPr>
                <w:b/>
                <w:bCs/>
                <w:sz w:val="18"/>
                <w:szCs w:val="18"/>
              </w:rPr>
              <w:t xml:space="preserve">What you found instead</w:t>
            </w:r>
          </w:p>
        </w:tc>
        <w:tc>
          <w:tcPr>
            <w:tcW w:type="dxa" w:w="3024"/>
            <w:shd w:fill="DCE6F1" w:val="clear"/>
          </w:tcPr>
          <w:p>
            <w:r>
              <w:rPr>
                <w:b/>
                <w:bCs/>
                <w:sz w:val="18"/>
                <w:szCs w:val="18"/>
              </w:rPr>
              <w:t xml:space="preserve">What you changed because of it</w:t>
            </w:r>
          </w:p>
        </w:tc>
      </w:tr>
      <w:tr>
        <w:tc>
          <w:tcPr>
            <w:tcW w:type="dxa" w:w="2621"/>
          </w:tcPr>
          <w:p>
            <w:r>
              <w:rPr>
                <w:b w:val="false"/>
                <w:bCs w:val="false"/>
                <w:sz w:val="18"/>
                <w:szCs w:val="18"/>
              </w:rPr>
              <w:t xml:space="preserve">A confidence threshold set from development data generalises reasonably to the hidden evaluation set.</w:t>
            </w:r>
          </w:p>
        </w:tc>
        <w:tc>
          <w:tcPr>
            <w:tcW w:type="dxa" w:w="1008"/>
          </w:tcPr>
          <w:p>
            <w:r>
              <w:rPr>
                <w:b w:val="false"/>
                <w:bCs w:val="false"/>
                <w:sz w:val="18"/>
                <w:szCs w:val="18"/>
              </w:rPr>
              <w:t xml:space="preserve">Partly</w:t>
            </w:r>
          </w:p>
        </w:tc>
        <w:tc>
          <w:tcPr>
            <w:tcW w:type="dxa" w:w="3427"/>
          </w:tcPr>
          <w:p>
            <w:r>
              <w:rPr>
                <w:b w:val="false"/>
                <w:bCs w:val="false"/>
                <w:sz w:val="18"/>
                <w:szCs w:val="18"/>
              </w:rPr>
              <w:t xml:space="preserve">It generalises, but only because the safety gates do not depend on it. Tuned on development data alone, one validation ticket still leaked: 'kindly check and revert' was read as a deployment rollback, because in Indian English business usage 'revert' means 'reply'. Tuning on the visible set did not catch it; testing on held-back data did.</w:t>
            </w:r>
          </w:p>
        </w:tc>
        <w:tc>
          <w:tcPr>
            <w:tcW w:type="dxa" w:w="3024"/>
          </w:tcPr>
          <w:p>
            <w:r>
              <w:rPr>
                <w:b w:val="false"/>
                <w:bCs w:val="false"/>
                <w:sz w:val="18"/>
                <w:szCs w:val="18"/>
              </w:rPr>
              <w:t xml:space="preserve">Fixed the detector rather than the threshold — 'revert' now requires a deployment object alongside it. Validation accuracy (83.8%) then exceeded development accuracy (80.2%), which is the evidence that the fixes are general rules rather than memorised answers.</w:t>
            </w:r>
          </w:p>
        </w:tc>
      </w:tr>
      <w:tr>
        <w:tc>
          <w:tcPr>
            <w:tcW w:type="dxa" w:w="2621"/>
          </w:tcPr>
          <w:p>
            <w:r>
              <w:rPr>
                <w:b w:val="false"/>
                <w:bCs w:val="false"/>
                <w:sz w:val="18"/>
                <w:szCs w:val="18"/>
              </w:rPr>
              <w:t xml:space="preserve">The 47.5% doc-answerable-but-escalated figure reflects a confidence and findability gap the system can close.</w:t>
            </w:r>
          </w:p>
        </w:tc>
        <w:tc>
          <w:tcPr>
            <w:tcW w:type="dxa" w:w="1008"/>
          </w:tcPr>
          <w:p>
            <w:r>
              <w:rPr>
                <w:b w:val="false"/>
                <w:bCs w:val="false"/>
                <w:sz w:val="18"/>
                <w:szCs w:val="18"/>
              </w:rPr>
              <w:t xml:space="preserve">Yes</w:t>
            </w:r>
          </w:p>
        </w:tc>
        <w:tc>
          <w:tcPr>
            <w:tcW w:type="dxa" w:w="3427"/>
          </w:tcPr>
          <w:p>
            <w:r>
              <w:rPr>
                <w:b w:val="false"/>
                <w:bCs w:val="false"/>
                <w:sz w:val="18"/>
                <w:szCs w:val="18"/>
              </w:rPr>
              <w:t xml:space="preserve">Escalation fell from a 55.9% baseline to 36.4%, and first contact resolution rose from 44.1% to 47.6%, without any model access at all. The gap was real and addressable by retrieval and routing alone.</w:t>
            </w:r>
          </w:p>
        </w:tc>
        <w:tc>
          <w:tcPr>
            <w:tcW w:type="dxa" w:w="3024"/>
          </w:tcPr>
          <w:p>
            <w:r>
              <w:rPr>
                <w:b w:val="false"/>
                <w:bCs w:val="false"/>
                <w:sz w:val="18"/>
                <w:szCs w:val="18"/>
              </w:rPr>
              <w:t xml:space="preserve">Nothing — the assumption was load-bearing and it held. It is recorded here because an assumption that survives contact is worth as much as one that fails.</w:t>
            </w:r>
          </w:p>
        </w:tc>
      </w:tr>
      <w:tr>
        <w:tc>
          <w:tcPr>
            <w:tcW w:type="dxa" w:w="2621"/>
          </w:tcPr>
          <w:p>
            <w:r>
              <w:rPr>
                <w:b w:val="false"/>
                <w:bCs w:val="false"/>
                <w:sz w:val="18"/>
                <w:szCs w:val="18"/>
              </w:rPr>
              <w:t xml:space="preserve">Enterprise tickets escalating more than other tiers (60.4%) is a real signal worth designing around.</w:t>
            </w:r>
          </w:p>
        </w:tc>
        <w:tc>
          <w:tcPr>
            <w:tcW w:type="dxa" w:w="1008"/>
          </w:tcPr>
          <w:p>
            <w:r>
              <w:rPr>
                <w:b w:val="false"/>
                <w:bCs w:val="false"/>
                <w:sz w:val="18"/>
                <w:szCs w:val="18"/>
              </w:rPr>
              <w:t xml:space="preserve">No, not as stated</w:t>
            </w:r>
          </w:p>
        </w:tc>
        <w:tc>
          <w:tcPr>
            <w:tcW w:type="dxa" w:w="3427"/>
          </w:tcPr>
          <w:p>
            <w:r>
              <w:rPr>
                <w:b w:val="false"/>
                <w:bCs w:val="false"/>
                <w:sz w:val="18"/>
                <w:szCs w:val="18"/>
              </w:rPr>
              <w:t xml:space="preserve">The historical pattern is real, but the system does not reproduce it. Enterprise now receives the HIGHEST automated answer rate of any tier, at 69.2% against 61.0% for standard. The direction reversed.</w:t>
            </w:r>
          </w:p>
        </w:tc>
        <w:tc>
          <w:tcPr>
            <w:tcW w:type="dxa" w:w="3024"/>
          </w:tcPr>
          <w:p>
            <w:r>
              <w:rPr>
                <w:b w:val="false"/>
                <w:bCs w:val="false"/>
                <w:sz w:val="18"/>
                <w:szCs w:val="18"/>
              </w:rPr>
              <w:t xml:space="preserve">Removed the proposed tier-specific routing threshold. The gap is now reported in the fairness audit and explained rather than engineered around — a tier-specific threshold would have been solving a problem the system does not have.</w:t>
            </w:r>
          </w:p>
        </w:tc>
      </w:tr>
      <w:tr>
        <w:tc>
          <w:tcPr>
            <w:tcW w:type="dxa" w:w="2621"/>
          </w:tcPr>
          <w:p>
            <w:r>
              <w:rPr>
                <w:b w:val="false"/>
                <w:bCs w:val="false"/>
                <w:sz w:val="18"/>
                <w:szCs w:val="18"/>
              </w:rPr>
              <w:t xml:space="preserve">Guardrail-blocked responses are rare enough that always-escalate-on-block is an acceptable fallback.</w:t>
            </w:r>
          </w:p>
        </w:tc>
        <w:tc>
          <w:tcPr>
            <w:tcW w:type="dxa" w:w="1008"/>
          </w:tcPr>
          <w:p>
            <w:r>
              <w:rPr>
                <w:b w:val="false"/>
                <w:bCs w:val="false"/>
                <w:sz w:val="18"/>
                <w:szCs w:val="18"/>
              </w:rPr>
              <w:t xml:space="preserve">Yes, comfortably</w:t>
            </w:r>
          </w:p>
        </w:tc>
        <w:tc>
          <w:tcPr>
            <w:tcW w:type="dxa" w:w="3427"/>
          </w:tcPr>
          <w:p>
            <w:r>
              <w:rPr>
                <w:b w:val="false"/>
                <w:bCs w:val="false"/>
                <w:sz w:val="18"/>
                <w:szCs w:val="18"/>
              </w:rPr>
              <w:t xml:space="preserve">Six blocks across 580 tickets, about 1%, all of them forbidden commitments. The predicted ceiling was the 17.4% must_not_auto_respond share; the actual figure is an order of magnitude below it.</w:t>
            </w:r>
          </w:p>
        </w:tc>
        <w:tc>
          <w:tcPr>
            <w:tcW w:type="dxa" w:w="3024"/>
          </w:tcPr>
          <w:p>
            <w:r>
              <w:rPr>
                <w:b w:val="false"/>
                <w:bCs w:val="false"/>
                <w:sz w:val="18"/>
                <w:szCs w:val="18"/>
              </w:rPr>
              <w:t xml:space="preserve">Nothing changed. Worth recording that the estimate was wrong in the safe direction, and that the guardrail is not over-triggering — which was the failure mode being guarded against.</w:t>
            </w:r>
          </w:p>
        </w:tc>
      </w:tr>
    </w:tbl>
    <w:p>
      <w:r>
        <w:br w:type="page"/>
      </w:r>
    </w:p>
    <w:p>
      <w:pPr>
        <w:pStyle w:val="Heading1"/>
        <w:spacing w:after="150" w:before="300"/>
      </w:pPr>
      <w:r>
        <w:t xml:space="preserve">4. What was deliberately not changed</w:t>
      </w:r>
    </w:p>
    <w:p>
      <w:pPr>
        <w:spacing w:after="160"/>
      </w:pPr>
      <w:r>
        <w:rPr>
          <w:b w:val="false"/>
          <w:bCs w:val="false"/>
          <w:i/>
          <w:iCs/>
          <w:sz w:val="20"/>
          <w:szCs w:val="20"/>
        </w:rPr>
        <w:t xml:space="preserve">Some things looked wrong during the build and turned out to be right, or right but not worth the cost. Recording these is as valuable as recording the changes.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822"/>
        <w:gridCol w:w="2621"/>
        <w:gridCol w:w="2016"/>
      </w:tblGrid>
      <w:tr>
        <w:trPr>
          <w:tblHeader/>
        </w:trPr>
        <w:tc>
          <w:tcPr>
            <w:tcW w:type="dxa" w:w="2621"/>
            <w:shd w:fill="DCE6F1" w:val="clear"/>
          </w:tcPr>
          <w:p>
            <w:r>
              <w:rPr>
                <w:b/>
                <w:bCs/>
                <w:sz w:val="18"/>
                <w:szCs w:val="18"/>
              </w:rPr>
              <w:t xml:space="preserve">What looked wrong</w:t>
            </w:r>
          </w:p>
        </w:tc>
        <w:tc>
          <w:tcPr>
            <w:tcW w:type="dxa" w:w="2822"/>
            <w:shd w:fill="DCE6F1" w:val="clear"/>
          </w:tcPr>
          <w:p>
            <w:r>
              <w:rPr>
                <w:b/>
                <w:bCs/>
                <w:sz w:val="18"/>
                <w:szCs w:val="18"/>
              </w:rPr>
              <w:t xml:space="preserve">Why it was left</w:t>
            </w:r>
          </w:p>
        </w:tc>
        <w:tc>
          <w:tcPr>
            <w:tcW w:type="dxa" w:w="2621"/>
            <w:shd w:fill="DCE6F1" w:val="clear"/>
          </w:tcPr>
          <w:p>
            <w:r>
              <w:rPr>
                <w:b/>
                <w:bCs/>
                <w:sz w:val="18"/>
                <w:szCs w:val="18"/>
              </w:rPr>
              <w:t xml:space="preserve">What it would have cost to change</w:t>
            </w:r>
          </w:p>
        </w:tc>
        <w:tc>
          <w:tcPr>
            <w:tcW w:type="dxa" w:w="2016"/>
            <w:shd w:fill="DCE6F1" w:val="clear"/>
          </w:tcPr>
          <w:p>
            <w:r>
              <w:rPr>
                <w:b/>
                <w:bCs/>
                <w:sz w:val="18"/>
                <w:szCs w:val="18"/>
              </w:rPr>
              <w:t xml:space="preserve">Revisit when?</w:t>
            </w:r>
          </w:p>
        </w:tc>
      </w:tr>
      <w:tr>
        <w:tc>
          <w:tcPr>
            <w:tcW w:type="dxa" w:w="2621"/>
          </w:tcPr>
          <w:p>
            <w:r>
              <w:rPr>
                <w:b w:val="false"/>
                <w:bCs w:val="false"/>
                <w:sz w:val="18"/>
                <w:szCs w:val="18"/>
              </w:rPr>
              <w:t xml:space="preserve">Routing accuracy of 69.7% looks low against a classifier that is 80.7% accurate.</w:t>
            </w:r>
          </w:p>
        </w:tc>
        <w:tc>
          <w:tcPr>
            <w:tcW w:type="dxa" w:w="2822"/>
          </w:tcPr>
          <w:p>
            <w:r>
              <w:rPr>
                <w:b w:val="false"/>
                <w:bCs w:val="false"/>
                <w:sz w:val="18"/>
                <w:szCs w:val="18"/>
              </w:rPr>
              <w:t xml:space="preserve">The shortfall is almost entirely over-escalation — the system sending a ticket to a human that it could have answered. That is the safe direction to be wrong in, and the client's stated failure condition is a confidently wrong answer, not an unnecessary escalation.</w:t>
            </w:r>
          </w:p>
        </w:tc>
        <w:tc>
          <w:tcPr>
            <w:tcW w:type="dxa" w:w="2621"/>
          </w:tcPr>
          <w:p>
            <w:r>
              <w:rPr>
                <w:b w:val="false"/>
                <w:bCs w:val="false"/>
                <w:sz w:val="18"/>
                <w:szCs w:val="18"/>
              </w:rPr>
              <w:t xml:space="preserve">Loosening the gates to close the gap would reintroduce the safety leaks that ordering them eliminated. The cost is measured: every threshold below 0.75 leaked before the gates were reordered.</w:t>
            </w:r>
          </w:p>
        </w:tc>
        <w:tc>
          <w:tcPr>
            <w:tcW w:type="dxa" w:w="2016"/>
          </w:tcPr>
          <w:p>
            <w:r>
              <w:rPr>
                <w:b w:val="false"/>
                <w:bCs w:val="false"/>
                <w:sz w:val="18"/>
                <w:szCs w:val="18"/>
              </w:rPr>
              <w:t xml:space="preserve">When the model path has been measured. If classification improves materially, the same gates will pass more tickets without being loosened.</w:t>
            </w:r>
          </w:p>
        </w:tc>
      </w:tr>
      <w:tr>
        <w:tc>
          <w:tcPr>
            <w:tcW w:type="dxa" w:w="2621"/>
          </w:tcPr>
          <w:p>
            <w:r>
              <w:rPr>
                <w:b w:val="false"/>
                <w:bCs w:val="false"/>
                <w:sz w:val="18"/>
                <w:szCs w:val="18"/>
              </w:rPr>
              <w:t xml:space="preserve">Retrieval matches words rather than meanings, which is the exact problem discovery identified.</w:t>
            </w:r>
          </w:p>
        </w:tc>
        <w:tc>
          <w:tcPr>
            <w:tcW w:type="dxa" w:w="2822"/>
          </w:tcPr>
          <w:p>
            <w:r>
              <w:rPr>
                <w:b w:val="false"/>
                <w:bCs w:val="false"/>
                <w:sz w:val="18"/>
                <w:szCs w:val="18"/>
              </w:rPr>
              <w:t xml:space="preserve">Query-side synonym expansion closes the common cases, and citation accuracy reached 92.7% — high enough that retrieval is not the limiting factor on current performance.</w:t>
            </w:r>
          </w:p>
        </w:tc>
        <w:tc>
          <w:tcPr>
            <w:tcW w:type="dxa" w:w="2621"/>
          </w:tcPr>
          <w:p>
            <w:r>
              <w:rPr>
                <w:b w:val="false"/>
                <w:bCs w:val="false"/>
                <w:sz w:val="18"/>
                <w:szCs w:val="18"/>
              </w:rPr>
              <w:t xml:space="preserve">An embedding model would improve it, but could not be installed in the build environment, and the measured citation accuracy did not justify blocking the gate on it.</w:t>
            </w:r>
          </w:p>
        </w:tc>
        <w:tc>
          <w:tcPr>
            <w:tcW w:type="dxa" w:w="2016"/>
          </w:tcPr>
          <w:p>
            <w:r>
              <w:rPr>
                <w:b w:val="false"/>
                <w:bCs w:val="false"/>
                <w:sz w:val="18"/>
                <w:szCs w:val="18"/>
              </w:rPr>
              <w:t xml:space="preserve">Before any production deployment. This is the single most likely source of further improvement.</w:t>
            </w:r>
          </w:p>
        </w:tc>
      </w:tr>
      <w:tr>
        <w:tc>
          <w:tcPr>
            <w:tcW w:type="dxa" w:w="2621"/>
          </w:tcPr>
          <w:p>
            <w:r>
              <w:rPr>
                <w:b w:val="false"/>
                <w:bCs w:val="false"/>
                <w:sz w:val="18"/>
                <w:szCs w:val="18"/>
              </w:rPr>
              <w:t xml:space="preserve">The system answers only 63.6% of tickets automatically, against roughly 70% being answerable from documentation.</w:t>
            </w:r>
          </w:p>
        </w:tc>
        <w:tc>
          <w:tcPr>
            <w:tcW w:type="dxa" w:w="2822"/>
          </w:tcPr>
          <w:p>
            <w:r>
              <w:rPr>
                <w:b w:val="false"/>
                <w:bCs w:val="false"/>
                <w:sz w:val="18"/>
                <w:szCs w:val="18"/>
              </w:rPr>
              <w:t xml:space="preserve">The difference is largely the 17.4% of tickets that must never be auto-answered. Closing it would mean answering tickets the governance framework forbids.</w:t>
            </w:r>
          </w:p>
        </w:tc>
        <w:tc>
          <w:tcPr>
            <w:tcW w:type="dxa" w:w="2621"/>
          </w:tcPr>
          <w:p>
            <w:r>
              <w:rPr>
                <w:b w:val="false"/>
                <w:bCs w:val="false"/>
                <w:sz w:val="18"/>
                <w:szCs w:val="18"/>
              </w:rPr>
              <w:t xml:space="preserve">Nothing legitimate. The apparent gap dissolves once must_not_auto_respond tickets are excluded from the comparison.</w:t>
            </w:r>
          </w:p>
        </w:tc>
        <w:tc>
          <w:tcPr>
            <w:tcW w:type="dxa" w:w="2016"/>
          </w:tcPr>
          <w:p>
            <w:r>
              <w:rPr>
                <w:b w:val="false"/>
                <w:bCs w:val="false"/>
                <w:sz w:val="18"/>
                <w:szCs w:val="18"/>
              </w:rPr>
              <w:t xml:space="preserve">Not a defect. Recorded so the figure is not misread as underperformance.</w:t>
            </w:r>
          </w:p>
        </w:tc>
      </w:tr>
      <w:tr>
        <w:tc>
          <w:tcPr>
            <w:tcW w:type="dxa" w:w="2621"/>
          </w:tcPr>
          <w:p>
            <w:r>
              <w:rPr>
                <w:b w:val="false"/>
                <w:bCs w:val="false"/>
                <w:sz w:val="18"/>
                <w:szCs w:val="18"/>
              </w:rPr>
              <w:t xml:space="preserve">The evaluation ran with no model access at all, so the AI path is unmeasured.</w:t>
            </w:r>
          </w:p>
        </w:tc>
        <w:tc>
          <w:tcPr>
            <w:tcW w:type="dxa" w:w="2822"/>
          </w:tcPr>
          <w:p>
            <w:r>
              <w:rPr>
                <w:b w:val="false"/>
                <w:bCs w:val="false"/>
                <w:sz w:val="18"/>
                <w:szCs w:val="18"/>
              </w:rPr>
              <w:t xml:space="preserve">The deterministic path meets all twelve acceptance criteria on its own. The model path is an improvement to measure, not a requirement to meet, and the pack is explicit that a well-built system on a small free model out-scores a thin one on an expensive one.</w:t>
            </w:r>
          </w:p>
        </w:tc>
        <w:tc>
          <w:tcPr>
            <w:tcW w:type="dxa" w:w="2621"/>
          </w:tcPr>
          <w:p>
            <w:r>
              <w:rPr>
                <w:b w:val="false"/>
                <w:bCs w:val="false"/>
                <w:sz w:val="18"/>
                <w:szCs w:val="18"/>
              </w:rPr>
              <w:t xml:space="preserve">Several hours were already spent trying to obtain working provider access, during which the graded system sat finished. Continuing would have consumed time that produced nothing assessable.</w:t>
            </w:r>
          </w:p>
        </w:tc>
        <w:tc>
          <w:tcPr>
            <w:tcW w:type="dxa" w:w="2016"/>
          </w:tcPr>
          <w:p>
            <w:r>
              <w:rPr>
                <w:b w:val="false"/>
                <w:bCs w:val="false"/>
                <w:sz w:val="18"/>
                <w:szCs w:val="18"/>
              </w:rPr>
              <w:t xml:space="preserve">When provider access is available. The comparison between paths would strengthen the evaluation section, but it does not change whether the system passes.</w:t>
            </w:r>
          </w:p>
        </w:tc>
      </w:tr>
    </w:tbl>
    <w:p>
      <w:r>
        <w:br w:type="page"/>
      </w:r>
    </w:p>
    <w:p>
      <w:pPr>
        <w:pStyle w:val="Heading1"/>
        <w:spacing w:after="150" w:before="300"/>
      </w:pPr>
      <w:r>
        <w:t xml:space="preserve">5. The reflection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tblHeader/>
        </w:trPr>
        <w:tc>
          <w:tcPr>
            <w:tcW w:type="dxa" w:w="2822"/>
            <w:shd w:fill="DCE6F1" w:val="clear"/>
          </w:tcPr>
          <w:p>
            <w:r>
              <w:rPr>
                <w:b/>
                <w:bCs/>
                <w:sz w:val="18"/>
                <w:szCs w:val="18"/>
              </w:rPr>
              <w:t xml:space="preserve">Question</w:t>
            </w:r>
          </w:p>
        </w:tc>
        <w:tc>
          <w:tcPr>
            <w:tcW w:type="dxa" w:w="7258"/>
            <w:shd w:fill="DCE6F1" w:val="clear"/>
          </w:tcPr>
          <w:p>
            <w:r>
              <w:rPr>
                <w:b/>
                <w:bCs/>
                <w:sz w:val="18"/>
                <w:szCs w:val="18"/>
              </w:rPr>
              <w:t xml:space="preserve">Your answer</w:t>
            </w:r>
          </w:p>
        </w:tc>
      </w:tr>
      <w:tr>
        <w:tc>
          <w:tcPr>
            <w:tcW w:type="dxa" w:w="2822"/>
          </w:tcPr>
          <w:p>
            <w:r>
              <w:rPr>
                <w:b w:val="false"/>
                <w:bCs w:val="false"/>
                <w:sz w:val="18"/>
                <w:szCs w:val="18"/>
              </w:rPr>
              <w:t xml:space="preserve">What did you most misunderstand about the problem when you wrote version one?</w:t>
            </w:r>
          </w:p>
        </w:tc>
        <w:tc>
          <w:tcPr>
            <w:tcW w:type="dxa" w:w="7258"/>
          </w:tcPr>
          <w:p>
            <w:r>
              <w:rPr>
                <w:b w:val="false"/>
                <w:bCs w:val="false"/>
                <w:sz w:val="18"/>
                <w:szCs w:val="18"/>
              </w:rPr>
              <w:t xml:space="preserve">That answerability could be decided by a number. Version one assumed a retrieval score would separate tickets the documentation can answer from tickets it cannot, and the threshold simply needed tuning. It cannot, at any value, because a customer requesting a feature that does not exist writes about deployments and billing in exactly the vocabulary of the articles about deployments and billing. The measurement that showed this — feature requests scoring HIGHER than genuinely answerable tickets — redirected the architecture from a scoring problem to a classification problem. Everything downstream, including the ordering of the routing gates, follows from that single finding.</w:t>
            </w:r>
          </w:p>
        </w:tc>
      </w:tr>
      <w:tr>
        <w:tc>
          <w:tcPr>
            <w:tcW w:type="dxa" w:w="2822"/>
          </w:tcPr>
          <w:p>
            <w:r>
              <w:rPr>
                <w:b w:val="false"/>
                <w:bCs w:val="false"/>
                <w:sz w:val="18"/>
                <w:szCs w:val="18"/>
              </w:rPr>
              <w:t xml:space="preserve">Which piece of discovery work would have caught it earlier?</w:t>
            </w:r>
          </w:p>
        </w:tc>
        <w:tc>
          <w:tcPr>
            <w:tcW w:type="dxa" w:w="7258"/>
          </w:tcPr>
          <w:p>
            <w:r>
              <w:rPr>
                <w:b w:val="false"/>
                <w:bCs w:val="false"/>
                <w:sz w:val="18"/>
                <w:szCs w:val="18"/>
              </w:rPr>
              <w:t xml:space="preserve">Reading the documentation corpus against the intent labels before designing retrieval. Discovery established that 70.7% of tickets are answerable from the corpus, which was correct and load-bearing. What it did not establish was WHICH intents have no documentation coverage at all. Ten minutes cross-tabulating intent against answerable_from_docs would have shown that feature_request and unclear_request are never answerable — and that fact, known on day one, would have made intent-based gating the obvious design rather than a correction made in week two.</w:t>
            </w:r>
          </w:p>
        </w:tc>
      </w:tr>
      <w:tr>
        <w:tc>
          <w:tcPr>
            <w:tcW w:type="dxa" w:w="2822"/>
          </w:tcPr>
          <w:p>
            <w:r>
              <w:rPr>
                <w:b w:val="false"/>
                <w:bCs w:val="false"/>
                <w:sz w:val="18"/>
                <w:szCs w:val="18"/>
              </w:rPr>
              <w:t xml:space="preserve">What would you do differently if you started this project again on Monday?</w:t>
            </w:r>
          </w:p>
        </w:tc>
        <w:tc>
          <w:tcPr>
            <w:tcW w:type="dxa" w:w="7258"/>
          </w:tcPr>
          <w:p>
            <w:r>
              <w:rPr>
                <w:b w:val="false"/>
                <w:bCs w:val="false"/>
                <w:sz w:val="18"/>
                <w:szCs w:val="18"/>
              </w:rPr>
              <w:t xml:space="preserve">Build the evaluation harness before the components, not alongside them. Every significant correction in this project came from a measurement: the chunking comparison, the threshold sweep, the classifier defects, the circuit breaker. Each of those was found once something could be run over the full set and scored. Earlier measurement would have surfaced them sooner and more cheaply. Second, I would set an explicit time limit on infrastructure that earns no marks. Several hours went into obtaining working model-provider access while the graded system was already finished and passing; each step had a plausible next hypothesis, which is exactly how that kind of time disappears.</w:t>
            </w:r>
          </w:p>
        </w:tc>
      </w:tr>
      <w:tr>
        <w:tc>
          <w:tcPr>
            <w:tcW w:type="dxa" w:w="2822"/>
          </w:tcPr>
          <w:p>
            <w:r>
              <w:rPr>
                <w:b w:val="false"/>
                <w:bCs w:val="false"/>
                <w:sz w:val="18"/>
                <w:szCs w:val="18"/>
              </w:rPr>
              <w:t xml:space="preserve">What is still uncertain, and what would you need to resolve it?</w:t>
            </w:r>
          </w:p>
        </w:tc>
        <w:tc>
          <w:tcPr>
            <w:tcW w:type="dxa" w:w="7258"/>
          </w:tcPr>
          <w:p>
            <w:r>
              <w:rPr>
                <w:b w:val="false"/>
                <w:bCs w:val="false"/>
                <w:sz w:val="18"/>
                <w:szCs w:val="18"/>
              </w:rPr>
              <w:t xml:space="preserve">Three things. First, how the system performs with model access — the deterministic path is fully measured, the AI path is built and unit-tested but has never run against a live provider, and only a working key resolves that. Second, whether the three fairness gaps are artefacts of phrasing or of something structural: the 10.8 point regional difference and the threefold difference in guardrail blocks for non-fluent customers need a phrasing analysis segmented by region and fluency, which the current data supports but which I have not done. Third, whether 69.7% routing accuracy is near the ceiling for keyword classification or whether better rules would close more of it — answerable by an error analysis of the 30% that route incorrectly, separated into over-escalation and under-escalation, which would say whether the remaining error is safe or unsafe.</w:t>
            </w:r>
          </w:p>
        </w:tc>
      </w:tr>
    </w:tbl>
    <w:p>
      <w:pPr>
        <w:spacing w:after="80"/>
      </w:pPr>
    </w:p>
    <w:p>
      <w:pPr>
        <w:pBdr>
          <w:top w:val="single" w:color="999999" w:sz="6"/>
          <w:bottom w:val="single" w:color="999999" w:sz="6"/>
          <w:left w:val="single" w:color="999999" w:sz="6"/>
          <w:right w:val="single" w:color="999999" w:sz="6"/>
        </w:pBdr>
        <w:spacing w:after="200" w:before="120"/>
      </w:pPr>
      <w:r>
        <w:rPr>
          <w:b/>
          <w:bCs/>
          <w:sz w:val="20"/>
          <w:szCs w:val="20"/>
        </w:rPr>
        <w:t xml:space="preserve">On the compulsory nature of this revision.  </w:t>
      </w:r>
      <w:r>
        <w:rPr>
          <w:sz w:val="20"/>
          <w:szCs w:val="20"/>
        </w:rPr>
        <w:t xml:space="preserve">The pack notes that a PRD unchanged after three weeks usually means nobody was reading it. That was not the difficulty here. The difficulty was the opposite: the build produced more corrections than could reasonably be logged, and the discipline required was choosing the four that changed the architecture rather than listing the twenty that changed a value. Each entry in Section 2 names a measurement, not an opinion.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2026-09-14T18:12:30.539Z</dcterms:created>
  <dcterms:modified xsi:type="dcterms:W3CDTF">2026-09-14T18:12:30.555Z</dcterms:modified>
</cp:coreProperties>
</file>

<file path=docProps/custom.xml><?xml version="1.0" encoding="utf-8"?>
<Properties xmlns="http://schemas.openxmlformats.org/officeDocument/2006/custom-properties" xmlns:vt="http://schemas.openxmlformats.org/officeDocument/2006/docPropsVTypes"/>
</file>