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2"/>
          <w:szCs w:val="22"/>
        </w:rPr>
        <w:t xml:space="preserve">FORWARD DEPLOYED AI ENGINEERING</w:t>
      </w:r>
    </w:p>
    <w:p>
      <w:pPr>
        <w:spacing w:after="60"/>
        <w:jc w:val="center"/>
      </w:pPr>
      <w:r>
        <w:rPr>
          <w:sz w:val="20"/>
          <w:szCs w:val="20"/>
        </w:rPr>
        <w:t xml:space="preserve">Capstone Project — CloudServe Solutions</w:t>
      </w:r>
    </w:p>
    <w:p>
      <w:pPr>
        <w:spacing w:after="300"/>
        <w:jc w:val="center"/>
      </w:pPr>
      <w:r>
        <w:rPr>
          <w:b/>
          <w:bCs/>
          <w:sz w:val="32"/>
          <w:szCs w:val="32"/>
        </w:rPr>
        <w:t xml:space="preserve">Stage 2: Product Requirements Document — v1.0</w:t>
      </w:r>
    </w:p>
    <w:p>
      <w:pPr>
        <w:pStyle w:val="Heading1"/>
        <w:spacing w:after="150" w:before="300"/>
      </w:pPr>
      <w:r>
        <w:t xml:space="preserve">1. Document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DCE6F1" w:val="clear"/>
          </w:tcPr>
          <w:p>
            <w:r>
              <w:rPr>
                <w:b/>
                <w:bCs/>
                <w:sz w:val="18"/>
                <w:szCs w:val="18"/>
              </w:rPr>
              <w:t xml:space="preserve">Field</w:t>
            </w:r>
          </w:p>
        </w:tc>
        <w:tc>
          <w:tcPr>
            <w:tcW w:type="dxa" w:w="7056"/>
            <w:shd w:fill="DCE6F1" w:val="clear"/>
          </w:tcPr>
          <w:p>
            <w:r>
              <w:rPr>
                <w:b/>
                <w:bCs/>
                <w:sz w:val="18"/>
                <w:szCs w:val="18"/>
              </w:rPr>
              <w:t xml:space="preserve">Value</w:t>
            </w:r>
          </w:p>
        </w:tc>
      </w:tr>
      <w:tr>
        <w:tc>
          <w:tcPr>
            <w:tcW w:type="dxa" w:w="3024"/>
          </w:tcPr>
          <w:p>
            <w:r>
              <w:rPr>
                <w:b w:val="false"/>
                <w:bCs w:val="false"/>
                <w:sz w:val="18"/>
                <w:szCs w:val="18"/>
              </w:rPr>
              <w:t xml:space="preserve">Version</w:t>
            </w:r>
          </w:p>
        </w:tc>
        <w:tc>
          <w:tcPr>
            <w:tcW w:type="dxa" w:w="7056"/>
          </w:tcPr>
          <w:p>
            <w:r>
              <w:rPr>
                <w:b w:val="false"/>
                <w:bCs w:val="false"/>
                <w:sz w:val="18"/>
                <w:szCs w:val="18"/>
              </w:rPr>
              <w:t xml:space="preserve">1.0</w:t>
            </w:r>
          </w:p>
        </w:tc>
      </w:tr>
      <w:tr>
        <w:tc>
          <w:tcPr>
            <w:tcW w:type="dxa" w:w="3024"/>
          </w:tcPr>
          <w:p>
            <w:r>
              <w:rPr>
                <w:b w:val="false"/>
                <w:bCs w:val="false"/>
                <w:sz w:val="18"/>
                <w:szCs w:val="18"/>
              </w:rPr>
              <w:t xml:space="preserve">Written by</w:t>
            </w:r>
          </w:p>
        </w:tc>
        <w:tc>
          <w:tcPr>
            <w:tcW w:type="dxa" w:w="7056"/>
          </w:tcPr>
          <w:p>
            <w:r>
              <w:rPr>
                <w:b w:val="false"/>
                <w:bCs w:val="false"/>
                <w:sz w:val="18"/>
                <w:szCs w:val="18"/>
              </w:rPr>
              <w:t xml:space="preserve">Rajarajan Venkatesan</w:t>
            </w:r>
          </w:p>
        </w:tc>
      </w:tr>
      <w:tr>
        <w:tc>
          <w:tcPr>
            <w:tcW w:type="dxa" w:w="3024"/>
          </w:tcPr>
          <w:p>
            <w:r>
              <w:rPr>
                <w:b w:val="false"/>
                <w:bCs w:val="false"/>
                <w:sz w:val="18"/>
                <w:szCs w:val="18"/>
              </w:rPr>
              <w:t xml:space="preserve">Date</w:t>
            </w:r>
          </w:p>
        </w:tc>
        <w:tc>
          <w:tcPr>
            <w:tcW w:type="dxa" w:w="7056"/>
          </w:tcPr>
          <w:p>
            <w:r>
              <w:rPr>
                <w:b w:val="false"/>
                <w:bCs w:val="false"/>
                <w:sz w:val="18"/>
                <w:szCs w:val="18"/>
              </w:rPr>
              <w:t xml:space="preserve">8 September 2026</w:t>
            </w:r>
          </w:p>
        </w:tc>
      </w:tr>
      <w:tr>
        <w:tc>
          <w:tcPr>
            <w:tcW w:type="dxa" w:w="3024"/>
          </w:tcPr>
          <w:p>
            <w:r>
              <w:rPr>
                <w:b w:val="false"/>
                <w:bCs w:val="false"/>
                <w:sz w:val="18"/>
                <w:szCs w:val="18"/>
              </w:rPr>
              <w:t xml:space="preserve">Status</w:t>
            </w:r>
          </w:p>
        </w:tc>
        <w:tc>
          <w:tcPr>
            <w:tcW w:type="dxa" w:w="7056"/>
          </w:tcPr>
          <w:p>
            <w:r>
              <w:rPr>
                <w:b w:val="false"/>
                <w:bCs w:val="false"/>
                <w:sz w:val="18"/>
                <w:szCs w:val="18"/>
              </w:rPr>
              <w:t xml:space="preserve">Draft for review</w:t>
            </w:r>
          </w:p>
        </w:tc>
      </w:tr>
      <w:tr>
        <w:tc>
          <w:tcPr>
            <w:tcW w:type="dxa" w:w="3024"/>
          </w:tcPr>
          <w:p>
            <w:r>
              <w:rPr>
                <w:b w:val="false"/>
                <w:bCs w:val="false"/>
                <w:sz w:val="18"/>
                <w:szCs w:val="18"/>
              </w:rPr>
              <w:t xml:space="preserve">Approved by</w:t>
            </w:r>
          </w:p>
        </w:tc>
        <w:tc>
          <w:tcPr>
            <w:tcW w:type="dxa" w:w="7056"/>
          </w:tcPr>
          <w:p>
            <w:r>
              <w:rPr>
                <w:b w:val="false"/>
                <w:bCs w:val="false"/>
                <w:sz w:val="18"/>
                <w:szCs w:val="18"/>
              </w:rPr>
              <w:t xml:space="preserve">—</w:t>
            </w:r>
          </w:p>
        </w:tc>
      </w:tr>
    </w:tbl>
    <w:p>
      <w:pPr>
        <w:spacing w:after="80"/>
      </w:pPr>
    </w:p>
    <w:p>
      <w:pPr>
        <w:pStyle w:val="Heading1"/>
        <w:spacing w:after="150" w:before="300"/>
      </w:pPr>
      <w:r>
        <w:t xml:space="preserve">2. The problem in one paragraph</w:t>
      </w:r>
    </w:p>
    <w:p>
      <w:pPr>
        <w:pBdr>
          <w:top w:val="single" w:color="999999" w:sz="6"/>
          <w:bottom w:val="single" w:color="999999" w:sz="6"/>
          <w:left w:val="single" w:color="999999" w:sz="6"/>
          <w:right w:val="single" w:color="999999" w:sz="6"/>
        </w:pBdr>
        <w:spacing w:after="200"/>
      </w:pPr>
      <w:r>
        <w:rPr>
          <w:sz w:val="21"/>
          <w:szCs w:val="21"/>
        </w:rPr>
        <w:t xml:space="preserve">CloudServe's support team already has the answers their customers need in their own documentation roughly seven times out of ten, and their agents already know most of the repeat questions by heart — the problem is not a shortage of knowledge, it's that finding and trusting the right answer fast enough, at the moment a ticket first arrives, is broken, so agents fall back on personal habits, escalate things that didn't need escalating, and customers wait far longer than the difficulty of their question justifies; fixing that — not replacing the agents' judgment with a chatbot — is what will actually bring response times and resolution rates back to where the business needs them.</w:t>
      </w:r>
    </w:p>
    <w:p>
      <w:pPr>
        <w:spacing w:after="160"/>
      </w:pPr>
      <w:r>
        <w:rPr>
          <w:b w:val="false"/>
          <w:bCs w:val="false"/>
          <w:i/>
          <w:iCs/>
          <w:sz w:val="20"/>
          <w:szCs w:val="20"/>
        </w:rPr>
        <w:t xml:space="preserve">(copied verbatim from Stage 1 Discovery Workbook, Section 6)</w:t>
      </w:r>
    </w:p>
    <w:p>
      <w:r>
        <w:br w:type="page"/>
      </w:r>
    </w:p>
    <w:p>
      <w:pPr>
        <w:pStyle w:val="Heading1"/>
        <w:spacing w:after="150" w:before="300"/>
      </w:pPr>
      <w:r>
        <w:t xml:space="preserve">3. Who this is for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2822"/>
        <w:gridCol w:w="2621"/>
        <w:gridCol w:w="2822"/>
      </w:tblGrid>
      <w:tr>
        <w:trPr>
          <w:tblHeader/>
        </w:trPr>
        <w:tc>
          <w:tcPr>
            <w:tcW w:type="dxa" w:w="1814"/>
            <w:shd w:fill="DCE6F1" w:val="clear"/>
          </w:tcPr>
          <w:p>
            <w:r>
              <w:rPr>
                <w:b/>
                <w:bCs/>
                <w:sz w:val="18"/>
                <w:szCs w:val="18"/>
              </w:rPr>
              <w:t xml:space="preserve">User group</w:t>
            </w:r>
          </w:p>
        </w:tc>
        <w:tc>
          <w:tcPr>
            <w:tcW w:type="dxa" w:w="2822"/>
            <w:shd w:fill="DCE6F1" w:val="clear"/>
          </w:tcPr>
          <w:p>
            <w:r>
              <w:rPr>
                <w:b/>
                <w:bCs/>
                <w:sz w:val="18"/>
                <w:szCs w:val="18"/>
              </w:rPr>
              <w:t xml:space="preserve">What they need from this system</w:t>
            </w:r>
          </w:p>
        </w:tc>
        <w:tc>
          <w:tcPr>
            <w:tcW w:type="dxa" w:w="2621"/>
            <w:shd w:fill="DCE6F1" w:val="clear"/>
          </w:tcPr>
          <w:p>
            <w:r>
              <w:rPr>
                <w:b/>
                <w:bCs/>
                <w:sz w:val="18"/>
                <w:szCs w:val="18"/>
              </w:rPr>
              <w:t xml:space="preserve">What they currently do instead</w:t>
            </w:r>
          </w:p>
        </w:tc>
        <w:tc>
          <w:tcPr>
            <w:tcW w:type="dxa" w:w="2822"/>
            <w:shd w:fill="DCE6F1" w:val="clear"/>
          </w:tcPr>
          <w:p>
            <w:r>
              <w:rPr>
                <w:b/>
                <w:bCs/>
                <w:sz w:val="18"/>
                <w:szCs w:val="18"/>
              </w:rPr>
              <w:t xml:space="preserve">How you will know it worked for them</w:t>
            </w:r>
          </w:p>
        </w:tc>
      </w:tr>
      <w:tr>
        <w:tc>
          <w:tcPr>
            <w:tcW w:type="dxa" w:w="1814"/>
          </w:tcPr>
          <w:p>
            <w:r>
              <w:rPr>
                <w:b w:val="false"/>
                <w:bCs w:val="false"/>
                <w:sz w:val="18"/>
                <w:szCs w:val="18"/>
              </w:rPr>
              <w:t xml:space="preserve">Customers raising tickets</w:t>
            </w:r>
          </w:p>
        </w:tc>
        <w:tc>
          <w:tcPr>
            <w:tcW w:type="dxa" w:w="2822"/>
          </w:tcPr>
          <w:p>
            <w:r>
              <w:rPr>
                <w:b w:val="false"/>
                <w:bCs w:val="false"/>
                <w:sz w:val="18"/>
                <w:szCs w:val="18"/>
              </w:rPr>
              <w:t xml:space="preserve">A fast, honest first response — automated where confidence is genuinely high, clearly labelled as such, with the source cited so they can verify it themselves</w:t>
            </w:r>
          </w:p>
        </w:tc>
        <w:tc>
          <w:tcPr>
            <w:tcW w:type="dxa" w:w="2621"/>
          </w:tcPr>
          <w:p>
            <w:r>
              <w:rPr>
                <w:b w:val="false"/>
                <w:bCs w:val="false"/>
                <w:sz w:val="18"/>
                <w:szCs w:val="18"/>
              </w:rPr>
              <w:t xml:space="preserve">Wait 8–12hrs regardless of actual urgency; often search the docs themselves in the meantime, finding an answer about half the time</w:t>
            </w:r>
          </w:p>
        </w:tc>
        <w:tc>
          <w:tcPr>
            <w:tcW w:type="dxa" w:w="2822"/>
          </w:tcPr>
          <w:p>
            <w:r>
              <w:rPr>
                <w:b w:val="false"/>
                <w:bCs w:val="false"/>
                <w:sz w:val="18"/>
                <w:szCs w:val="18"/>
              </w:rPr>
              <w:t xml:space="preserve">First-response time drops toward the 2hr SLA on doc-answerable tickets; CSAT on automated responses at or above the historical human baseline of 2.92</w:t>
            </w:r>
          </w:p>
        </w:tc>
      </w:tr>
      <w:tr>
        <w:tc>
          <w:tcPr>
            <w:tcW w:type="dxa" w:w="1814"/>
          </w:tcPr>
          <w:p>
            <w:r>
              <w:rPr>
                <w:b w:val="false"/>
                <w:bCs w:val="false"/>
                <w:sz w:val="18"/>
                <w:szCs w:val="18"/>
              </w:rPr>
              <w:t xml:space="preserve">Tier one support agents</w:t>
            </w:r>
          </w:p>
        </w:tc>
        <w:tc>
          <w:tcPr>
            <w:tcW w:type="dxa" w:w="2822"/>
          </w:tcPr>
          <w:p>
            <w:r>
              <w:rPr>
                <w:b w:val="false"/>
                <w:bCs w:val="false"/>
                <w:sz w:val="18"/>
                <w:szCs w:val="18"/>
              </w:rPr>
              <w:t xml:space="preserve">Fast, trustworthy retrieval against the reviewed KB so they stop relying on personal answer files; a confidence signal telling them when to send vs. escalate</w:t>
            </w:r>
          </w:p>
        </w:tc>
        <w:tc>
          <w:tcPr>
            <w:tcW w:type="dxa" w:w="2621"/>
          </w:tcPr>
          <w:p>
            <w:r>
              <w:rPr>
                <w:b w:val="false"/>
                <w:bCs w:val="false"/>
                <w:sz w:val="18"/>
                <w:szCs w:val="18"/>
              </w:rPr>
              <w:t xml:space="preserve">Search painful internal tooling, fall back to a personal, unreviewed answer file</w:t>
            </w:r>
          </w:p>
        </w:tc>
        <w:tc>
          <w:tcPr>
            <w:tcW w:type="dxa" w:w="2822"/>
          </w:tcPr>
          <w:p>
            <w:r>
              <w:rPr>
                <w:b w:val="false"/>
                <w:bCs w:val="false"/>
                <w:sz w:val="18"/>
                <w:szCs w:val="18"/>
              </w:rPr>
              <w:t xml:space="preserve">Median handling time on "seen it before" tickets drops from the stated 3–4 min of pure search time; agents self-report lower reliance on personal files</w:t>
            </w:r>
          </w:p>
        </w:tc>
      </w:tr>
      <w:tr>
        <w:tc>
          <w:tcPr>
            <w:tcW w:type="dxa" w:w="1814"/>
          </w:tcPr>
          <w:p>
            <w:r>
              <w:rPr>
                <w:b w:val="false"/>
                <w:bCs w:val="false"/>
                <w:sz w:val="18"/>
                <w:szCs w:val="18"/>
              </w:rPr>
              <w:t xml:space="preserve">Tier two and specialist engineers</w:t>
            </w:r>
          </w:p>
        </w:tc>
        <w:tc>
          <w:tcPr>
            <w:tcW w:type="dxa" w:w="2822"/>
          </w:tcPr>
          <w:p>
            <w:r>
              <w:rPr>
                <w:b w:val="false"/>
                <w:bCs w:val="false"/>
                <w:sz w:val="18"/>
                <w:szCs w:val="18"/>
              </w:rPr>
              <w:t xml:space="preserve">Escalations that arrive with a summary, the retrieved sources, and a stated reason for low confidence — not a bare forward</w:t>
            </w:r>
          </w:p>
        </w:tc>
        <w:tc>
          <w:tcPr>
            <w:tcW w:type="dxa" w:w="2621"/>
          </w:tcPr>
          <w:p>
            <w:r>
              <w:rPr>
                <w:b w:val="false"/>
                <w:bCs w:val="false"/>
                <w:sz w:val="18"/>
                <w:szCs w:val="18"/>
              </w:rPr>
              <w:t xml:space="preserve">Read the whole thread from scratch and re-ask questions the customer already answered</w:t>
            </w:r>
          </w:p>
        </w:tc>
        <w:tc>
          <w:tcPr>
            <w:tcW w:type="dxa" w:w="2822"/>
          </w:tcPr>
          <w:p>
            <w:r>
              <w:rPr>
                <w:b w:val="false"/>
                <w:bCs w:val="false"/>
                <w:sz w:val="18"/>
                <w:szCs w:val="18"/>
              </w:rPr>
              <w:t xml:space="preserve">Measurable reduction in tier-two handling time on tickets that arrive with this context</w:t>
            </w:r>
          </w:p>
        </w:tc>
      </w:tr>
      <w:tr>
        <w:tc>
          <w:tcPr>
            <w:tcW w:type="dxa" w:w="1814"/>
          </w:tcPr>
          <w:p>
            <w:r>
              <w:rPr>
                <w:b w:val="false"/>
                <w:bCs w:val="false"/>
                <w:sz w:val="18"/>
                <w:szCs w:val="18"/>
              </w:rPr>
              <w:t xml:space="preserve">The head of support</w:t>
            </w:r>
          </w:p>
        </w:tc>
        <w:tc>
          <w:tcPr>
            <w:tcW w:type="dxa" w:w="2822"/>
          </w:tcPr>
          <w:p>
            <w:r>
              <w:rPr>
                <w:b w:val="false"/>
                <w:bCs w:val="false"/>
                <w:sz w:val="18"/>
                <w:szCs w:val="18"/>
              </w:rPr>
              <w:t xml:space="preserve">A system that measurably raises FCR (the real priority, not just SLA-reported response time), and that can be explained in a compliance review</w:t>
            </w:r>
          </w:p>
        </w:tc>
        <w:tc>
          <w:tcPr>
            <w:tcW w:type="dxa" w:w="2621"/>
          </w:tcPr>
          <w:p>
            <w:r>
              <w:rPr>
                <w:b w:val="false"/>
                <w:bCs w:val="false"/>
                <w:sz w:val="18"/>
                <w:szCs w:val="18"/>
              </w:rPr>
              <w:t xml:space="preserve">Reports a red SLA number with no way to explain why a given ticket was routed the way it was</w:t>
            </w:r>
          </w:p>
        </w:tc>
        <w:tc>
          <w:tcPr>
            <w:tcW w:type="dxa" w:w="2822"/>
          </w:tcPr>
          <w:p>
            <w:r>
              <w:rPr>
                <w:b w:val="false"/>
                <w:bCs w:val="false"/>
                <w:sz w:val="18"/>
                <w:szCs w:val="18"/>
              </w:rPr>
              <w:t xml:space="preserve">FCR trending toward the 65% benchmark; every automated decision has a logged, human-readable reason</w:t>
            </w:r>
          </w:p>
        </w:tc>
      </w:tr>
    </w:tbl>
    <w:p>
      <w:r>
        <w:br w:type="page"/>
      </w:r>
    </w:p>
    <w:p>
      <w:pPr>
        <w:pStyle w:val="Heading1"/>
        <w:spacing w:after="150" w:before="300"/>
      </w:pPr>
      <w:r>
        <w:t xml:space="preserve">4. Functional requirements</w:t>
      </w:r>
    </w:p>
    <w:p>
      <w:pPr>
        <w:spacing w:after="160"/>
      </w:pPr>
      <w:r>
        <w:rPr>
          <w:b w:val="false"/>
          <w:bCs w:val="false"/>
          <w:i/>
          <w:iCs/>
          <w:sz w:val="20"/>
          <w:szCs w:val="20"/>
        </w:rPr>
        <w:t xml:space="preserve">Every requirement traces to Discovery Workbook evidence and, where applicable, to a Build Specification acceptance criterion (A1–A12).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6"/>
        <w:gridCol w:w="3629"/>
        <w:gridCol w:w="806"/>
        <w:gridCol w:w="3024"/>
        <w:gridCol w:w="1915"/>
      </w:tblGrid>
      <w:tr>
        <w:trPr>
          <w:tblHeader/>
        </w:trPr>
        <w:tc>
          <w:tcPr>
            <w:tcW w:type="dxa" w:w="706"/>
            <w:shd w:fill="DCE6F1" w:val="clear"/>
          </w:tcPr>
          <w:p>
            <w:r>
              <w:rPr>
                <w:b/>
                <w:bCs/>
                <w:sz w:val="18"/>
                <w:szCs w:val="18"/>
              </w:rPr>
              <w:t xml:space="preserve">ID</w:t>
            </w:r>
          </w:p>
        </w:tc>
        <w:tc>
          <w:tcPr>
            <w:tcW w:type="dxa" w:w="3629"/>
            <w:shd w:fill="DCE6F1" w:val="clear"/>
          </w:tcPr>
          <w:p>
            <w:r>
              <w:rPr>
                <w:b/>
                <w:bCs/>
                <w:sz w:val="18"/>
                <w:szCs w:val="18"/>
              </w:rPr>
              <w:t xml:space="preserve">Requirement</w:t>
            </w:r>
          </w:p>
        </w:tc>
        <w:tc>
          <w:tcPr>
            <w:tcW w:type="dxa" w:w="806"/>
            <w:shd w:fill="DCE6F1" w:val="clear"/>
          </w:tcPr>
          <w:p>
            <w:r>
              <w:rPr>
                <w:b/>
                <w:bCs/>
                <w:sz w:val="18"/>
                <w:szCs w:val="18"/>
              </w:rPr>
              <w:t xml:space="preserve">Priority</w:t>
            </w:r>
          </w:p>
        </w:tc>
        <w:tc>
          <w:tcPr>
            <w:tcW w:type="dxa" w:w="3024"/>
            <w:shd w:fill="DCE6F1" w:val="clear"/>
          </w:tcPr>
          <w:p>
            <w:r>
              <w:rPr>
                <w:b/>
                <w:bCs/>
                <w:sz w:val="18"/>
                <w:szCs w:val="18"/>
              </w:rPr>
              <w:t xml:space="preserve">Discovery evidence</w:t>
            </w:r>
          </w:p>
        </w:tc>
        <w:tc>
          <w:tcPr>
            <w:tcW w:type="dxa" w:w="1915"/>
            <w:shd w:fill="DCE6F1" w:val="clear"/>
          </w:tcPr>
          <w:p>
            <w:r>
              <w:rPr>
                <w:b/>
                <w:bCs/>
                <w:sz w:val="18"/>
                <w:szCs w:val="18"/>
              </w:rPr>
              <w:t xml:space="preserve">Acceptance criteria</w:t>
            </w:r>
          </w:p>
        </w:tc>
      </w:tr>
      <w:tr>
        <w:tc>
          <w:tcPr>
            <w:tcW w:type="dxa" w:w="706"/>
          </w:tcPr>
          <w:p>
            <w:r>
              <w:rPr>
                <w:b w:val="false"/>
                <w:bCs w:val="false"/>
                <w:sz w:val="18"/>
                <w:szCs w:val="18"/>
              </w:rPr>
              <w:t xml:space="preserve">FR-01</w:t>
            </w:r>
          </w:p>
        </w:tc>
        <w:tc>
          <w:tcPr>
            <w:tcW w:type="dxa" w:w="3629"/>
          </w:tcPr>
          <w:p>
            <w:r>
              <w:rPr>
                <w:b w:val="false"/>
                <w:bCs w:val="false"/>
                <w:sz w:val="18"/>
                <w:szCs w:val="18"/>
              </w:rPr>
              <w:t xml:space="preserve">The system shall ingest tickets from all four channels (email, chat, docs_comment, forum) and normalise them into one internal representation, preserving original text and channel.</w:t>
            </w:r>
          </w:p>
        </w:tc>
        <w:tc>
          <w:tcPr>
            <w:tcW w:type="dxa" w:w="806"/>
          </w:tcPr>
          <w:p>
            <w:r>
              <w:rPr>
                <w:b w:val="false"/>
                <w:bCs w:val="false"/>
                <w:sz w:val="18"/>
                <w:szCs w:val="18"/>
              </w:rPr>
              <w:t xml:space="preserve">Must</w:t>
            </w:r>
          </w:p>
        </w:tc>
        <w:tc>
          <w:tcPr>
            <w:tcW w:type="dxa" w:w="3024"/>
          </w:tcPr>
          <w:p>
            <w:r>
              <w:rPr>
                <w:b w:val="false"/>
                <w:bCs w:val="false"/>
                <w:sz w:val="18"/>
                <w:szCs w:val="18"/>
              </w:rPr>
              <w:t xml:space="preserve">Discovery §2, channel-split (Email 41.9%, Chat 30.5%, Docs comment 16.2%, Forum 11.4%)</w:t>
            </w:r>
          </w:p>
        </w:tc>
        <w:tc>
          <w:tcPr>
            <w:tcW w:type="dxa" w:w="1915"/>
          </w:tcPr>
          <w:p>
            <w:r>
              <w:rPr>
                <w:b w:val="false"/>
                <w:bCs w:val="false"/>
                <w:sz w:val="18"/>
                <w:szCs w:val="18"/>
              </w:rPr>
              <w:t xml:space="preserve">A2</w:t>
            </w:r>
          </w:p>
        </w:tc>
      </w:tr>
      <w:tr>
        <w:tc>
          <w:tcPr>
            <w:tcW w:type="dxa" w:w="706"/>
          </w:tcPr>
          <w:p>
            <w:r>
              <w:rPr>
                <w:b w:val="false"/>
                <w:bCs w:val="false"/>
                <w:sz w:val="18"/>
                <w:szCs w:val="18"/>
              </w:rPr>
              <w:t xml:space="preserve">FR-02</w:t>
            </w:r>
          </w:p>
        </w:tc>
        <w:tc>
          <w:tcPr>
            <w:tcW w:type="dxa" w:w="3629"/>
          </w:tcPr>
          <w:p>
            <w:r>
              <w:rPr>
                <w:b w:val="false"/>
                <w:bCs w:val="false"/>
                <w:sz w:val="18"/>
                <w:szCs w:val="18"/>
              </w:rPr>
              <w:t xml:space="preserve">The system shall classify every ticket's intent and urgency and attach a numeric confidence score reflecting actual predicted probability of correctness, with a defined fallback when it cannot classify confidently.</w:t>
            </w:r>
          </w:p>
        </w:tc>
        <w:tc>
          <w:tcPr>
            <w:tcW w:type="dxa" w:w="806"/>
          </w:tcPr>
          <w:p>
            <w:r>
              <w:rPr>
                <w:b w:val="false"/>
                <w:bCs w:val="false"/>
                <w:sz w:val="18"/>
                <w:szCs w:val="18"/>
              </w:rPr>
              <w:t xml:space="preserve">Must</w:t>
            </w:r>
          </w:p>
        </w:tc>
        <w:tc>
          <w:tcPr>
            <w:tcW w:type="dxa" w:w="3024"/>
          </w:tcPr>
          <w:p>
            <w:r>
              <w:rPr>
                <w:b w:val="false"/>
                <w:bCs w:val="false"/>
                <w:sz w:val="18"/>
                <w:szCs w:val="18"/>
              </w:rPr>
              <w:t xml:space="preserve">Discovery §3, agent workflow step 2</w:t>
            </w:r>
          </w:p>
        </w:tc>
        <w:tc>
          <w:tcPr>
            <w:tcW w:type="dxa" w:w="1915"/>
          </w:tcPr>
          <w:p>
            <w:r>
              <w:rPr>
                <w:b w:val="false"/>
                <w:bCs w:val="false"/>
                <w:sz w:val="18"/>
                <w:szCs w:val="18"/>
              </w:rPr>
              <w:t xml:space="preserve">A3</w:t>
            </w:r>
          </w:p>
        </w:tc>
      </w:tr>
      <w:tr>
        <w:tc>
          <w:tcPr>
            <w:tcW w:type="dxa" w:w="706"/>
          </w:tcPr>
          <w:p>
            <w:r>
              <w:rPr>
                <w:b w:val="false"/>
                <w:bCs w:val="false"/>
                <w:sz w:val="18"/>
                <w:szCs w:val="18"/>
              </w:rPr>
              <w:t xml:space="preserve">FR-03</w:t>
            </w:r>
          </w:p>
        </w:tc>
        <w:tc>
          <w:tcPr>
            <w:tcW w:type="dxa" w:w="3629"/>
          </w:tcPr>
          <w:p>
            <w:r>
              <w:rPr>
                <w:b w:val="false"/>
                <w:bCs w:val="false"/>
                <w:sz w:val="18"/>
                <w:szCs w:val="18"/>
              </w:rPr>
              <w:t xml:space="preserve">The system shall retrieve ranked passages from the 29-article documentation corpus, returning identifiers that resolve to real corpus passages, and shall return nothing rather than a weak match below threshold.</w:t>
            </w:r>
          </w:p>
        </w:tc>
        <w:tc>
          <w:tcPr>
            <w:tcW w:type="dxa" w:w="806"/>
          </w:tcPr>
          <w:p>
            <w:r>
              <w:rPr>
                <w:b w:val="false"/>
                <w:bCs w:val="false"/>
                <w:sz w:val="18"/>
                <w:szCs w:val="18"/>
              </w:rPr>
              <w:t xml:space="preserve">Must</w:t>
            </w:r>
          </w:p>
        </w:tc>
        <w:tc>
          <w:tcPr>
            <w:tcW w:type="dxa" w:w="3024"/>
          </w:tcPr>
          <w:p>
            <w:r>
              <w:rPr>
                <w:b w:val="false"/>
                <w:bCs w:val="false"/>
                <w:sz w:val="18"/>
                <w:szCs w:val="18"/>
              </w:rPr>
              <w:t xml:space="preserve">Discovery §1 disagreement #2; §2 (70.7% answerable_from_docs)</w:t>
            </w:r>
          </w:p>
        </w:tc>
        <w:tc>
          <w:tcPr>
            <w:tcW w:type="dxa" w:w="1915"/>
          </w:tcPr>
          <w:p>
            <w:r>
              <w:rPr>
                <w:b w:val="false"/>
                <w:bCs w:val="false"/>
                <w:sz w:val="18"/>
                <w:szCs w:val="18"/>
              </w:rPr>
              <w:t xml:space="preserve">A4</w:t>
            </w:r>
          </w:p>
        </w:tc>
      </w:tr>
      <w:tr>
        <w:tc>
          <w:tcPr>
            <w:tcW w:type="dxa" w:w="706"/>
          </w:tcPr>
          <w:p>
            <w:r>
              <w:rPr>
                <w:b w:val="false"/>
                <w:bCs w:val="false"/>
                <w:sz w:val="18"/>
                <w:szCs w:val="18"/>
              </w:rPr>
              <w:t xml:space="preserve">FR-04</w:t>
            </w:r>
          </w:p>
        </w:tc>
        <w:tc>
          <w:tcPr>
            <w:tcW w:type="dxa" w:w="3629"/>
          </w:tcPr>
          <w:p>
            <w:r>
              <w:rPr>
                <w:b w:val="false"/>
                <w:bCs w:val="false"/>
                <w:sz w:val="18"/>
                <w:szCs w:val="18"/>
              </w:rPr>
              <w:t xml:space="preserve">The system shall route each ticket to auto-respond or escalate using a data-derived confidence threshold, deterministically, and shall record the reason in language a support manager could read.</w:t>
            </w:r>
          </w:p>
        </w:tc>
        <w:tc>
          <w:tcPr>
            <w:tcW w:type="dxa" w:w="806"/>
          </w:tcPr>
          <w:p>
            <w:r>
              <w:rPr>
                <w:b w:val="false"/>
                <w:bCs w:val="false"/>
                <w:sz w:val="18"/>
                <w:szCs w:val="18"/>
              </w:rPr>
              <w:t xml:space="preserve">Must</w:t>
            </w:r>
          </w:p>
        </w:tc>
        <w:tc>
          <w:tcPr>
            <w:tcW w:type="dxa" w:w="3024"/>
          </w:tcPr>
          <w:p>
            <w:r>
              <w:rPr>
                <w:b w:val="false"/>
                <w:bCs w:val="false"/>
                <w:sz w:val="18"/>
                <w:szCs w:val="18"/>
              </w:rPr>
              <w:t xml:space="preserve">Discovery §1 disagreement #1 (47.5% of escalations were doc-answerable)</w:t>
            </w:r>
          </w:p>
        </w:tc>
        <w:tc>
          <w:tcPr>
            <w:tcW w:type="dxa" w:w="1915"/>
          </w:tcPr>
          <w:p>
            <w:r>
              <w:rPr>
                <w:b w:val="false"/>
                <w:bCs w:val="false"/>
                <w:sz w:val="18"/>
                <w:szCs w:val="18"/>
              </w:rPr>
              <w:t xml:space="preserve">A5</w:t>
            </w:r>
          </w:p>
        </w:tc>
      </w:tr>
      <w:tr>
        <w:tc>
          <w:tcPr>
            <w:tcW w:type="dxa" w:w="706"/>
          </w:tcPr>
          <w:p>
            <w:r>
              <w:rPr>
                <w:b w:val="false"/>
                <w:bCs w:val="false"/>
                <w:sz w:val="18"/>
                <w:szCs w:val="18"/>
              </w:rPr>
              <w:t xml:space="preserve">FR-05</w:t>
            </w:r>
          </w:p>
        </w:tc>
        <w:tc>
          <w:tcPr>
            <w:tcW w:type="dxa" w:w="3629"/>
          </w:tcPr>
          <w:p>
            <w:r>
              <w:rPr>
                <w:b w:val="false"/>
                <w:bCs w:val="false"/>
                <w:sz w:val="18"/>
                <w:szCs w:val="18"/>
              </w:rPr>
              <w:t xml:space="preserve">The system shall generate answers grounded only in retrieved passages, with citations attached to specific claims, and shall explicitly state when it does not know.</w:t>
            </w:r>
          </w:p>
        </w:tc>
        <w:tc>
          <w:tcPr>
            <w:tcW w:type="dxa" w:w="806"/>
          </w:tcPr>
          <w:p>
            <w:r>
              <w:rPr>
                <w:b w:val="false"/>
                <w:bCs w:val="false"/>
                <w:sz w:val="18"/>
                <w:szCs w:val="18"/>
              </w:rPr>
              <w:t xml:space="preserve">Must</w:t>
            </w:r>
          </w:p>
        </w:tc>
        <w:tc>
          <w:tcPr>
            <w:tcW w:type="dxa" w:w="3024"/>
          </w:tcPr>
          <w:p>
            <w:r>
              <w:rPr>
                <w:b w:val="false"/>
                <w:bCs w:val="false"/>
                <w:sz w:val="18"/>
                <w:szCs w:val="18"/>
              </w:rPr>
              <w:t xml:space="preserve">Discovery §1, Ines (source attribution) and Ravi ("provided it is honest")</w:t>
            </w:r>
          </w:p>
        </w:tc>
        <w:tc>
          <w:tcPr>
            <w:tcW w:type="dxa" w:w="1915"/>
          </w:tcPr>
          <w:p>
            <w:r>
              <w:rPr>
                <w:b w:val="false"/>
                <w:bCs w:val="false"/>
                <w:sz w:val="18"/>
                <w:szCs w:val="18"/>
              </w:rPr>
              <w:t xml:space="preserve">A6</w:t>
            </w:r>
          </w:p>
        </w:tc>
      </w:tr>
      <w:tr>
        <w:tc>
          <w:tcPr>
            <w:tcW w:type="dxa" w:w="706"/>
          </w:tcPr>
          <w:p>
            <w:r>
              <w:rPr>
                <w:b w:val="false"/>
                <w:bCs w:val="false"/>
                <w:sz w:val="18"/>
                <w:szCs w:val="18"/>
              </w:rPr>
              <w:t xml:space="preserve">FR-06</w:t>
            </w:r>
          </w:p>
        </w:tc>
        <w:tc>
          <w:tcPr>
            <w:tcW w:type="dxa" w:w="3629"/>
          </w:tcPr>
          <w:p>
            <w:r>
              <w:rPr>
                <w:b w:val="false"/>
                <w:bCs w:val="false"/>
                <w:sz w:val="18"/>
                <w:szCs w:val="18"/>
              </w:rPr>
              <w:t xml:space="preserve">The system shall isolate ticket body text from its own system instructions so customer-supplied text cannot redirect its behaviour.</w:t>
            </w:r>
          </w:p>
        </w:tc>
        <w:tc>
          <w:tcPr>
            <w:tcW w:type="dxa" w:w="806"/>
          </w:tcPr>
          <w:p>
            <w:r>
              <w:rPr>
                <w:b w:val="false"/>
                <w:bCs w:val="false"/>
                <w:sz w:val="18"/>
                <w:szCs w:val="18"/>
              </w:rPr>
              <w:t xml:space="preserve">Must</w:t>
            </w:r>
          </w:p>
        </w:tc>
        <w:tc>
          <w:tcPr>
            <w:tcW w:type="dxa" w:w="3024"/>
          </w:tcPr>
          <w:p>
            <w:r>
              <w:rPr>
                <w:b w:val="false"/>
                <w:bCs w:val="false"/>
                <w:sz w:val="18"/>
                <w:szCs w:val="18"/>
              </w:rPr>
              <w:t xml:space="preserve">Build Specification §03 "Generate" requirement</w:t>
            </w:r>
          </w:p>
        </w:tc>
        <w:tc>
          <w:tcPr>
            <w:tcW w:type="dxa" w:w="1915"/>
          </w:tcPr>
          <w:p>
            <w:r>
              <w:rPr>
                <w:b w:val="false"/>
                <w:bCs w:val="false"/>
                <w:sz w:val="18"/>
                <w:szCs w:val="18"/>
              </w:rPr>
              <w:t xml:space="preserve">(component requirement)</w:t>
            </w:r>
          </w:p>
        </w:tc>
      </w:tr>
      <w:tr>
        <w:tc>
          <w:tcPr>
            <w:tcW w:type="dxa" w:w="706"/>
          </w:tcPr>
          <w:p>
            <w:r>
              <w:rPr>
                <w:b w:val="false"/>
                <w:bCs w:val="false"/>
                <w:sz w:val="18"/>
                <w:szCs w:val="18"/>
              </w:rPr>
              <w:t xml:space="preserve">FR-07</w:t>
            </w:r>
          </w:p>
        </w:tc>
        <w:tc>
          <w:tcPr>
            <w:tcW w:type="dxa" w:w="3629"/>
          </w:tcPr>
          <w:p>
            <w:r>
              <w:rPr>
                <w:b w:val="false"/>
                <w:bCs w:val="false"/>
                <w:sz w:val="18"/>
                <w:szCs w:val="18"/>
              </w:rPr>
              <w:t xml:space="preserve">The system shall run at least one guardrail on every generated response before release — at minimum checking for private data and unsupported claims — and shall be able to block outright.</w:t>
            </w:r>
          </w:p>
        </w:tc>
        <w:tc>
          <w:tcPr>
            <w:tcW w:type="dxa" w:w="806"/>
          </w:tcPr>
          <w:p>
            <w:r>
              <w:rPr>
                <w:b w:val="false"/>
                <w:bCs w:val="false"/>
                <w:sz w:val="18"/>
                <w:szCs w:val="18"/>
              </w:rPr>
              <w:t xml:space="preserve">Must</w:t>
            </w:r>
          </w:p>
        </w:tc>
        <w:tc>
          <w:tcPr>
            <w:tcW w:type="dxa" w:w="3024"/>
          </w:tcPr>
          <w:p>
            <w:r>
              <w:rPr>
                <w:b w:val="false"/>
                <w:bCs w:val="false"/>
                <w:sz w:val="18"/>
                <w:szCs w:val="18"/>
              </w:rPr>
              <w:t xml:space="preserve">Discovery §5 risk register; Marcus's stated failure condition</w:t>
            </w:r>
          </w:p>
        </w:tc>
        <w:tc>
          <w:tcPr>
            <w:tcW w:type="dxa" w:w="1915"/>
          </w:tcPr>
          <w:p>
            <w:r>
              <w:rPr>
                <w:b w:val="false"/>
                <w:bCs w:val="false"/>
                <w:sz w:val="18"/>
                <w:szCs w:val="18"/>
              </w:rPr>
              <w:t xml:space="preserve">A7</w:t>
            </w:r>
          </w:p>
        </w:tc>
      </w:tr>
      <w:tr>
        <w:tc>
          <w:tcPr>
            <w:tcW w:type="dxa" w:w="706"/>
          </w:tcPr>
          <w:p>
            <w:r>
              <w:rPr>
                <w:b w:val="false"/>
                <w:bCs w:val="false"/>
                <w:sz w:val="18"/>
                <w:szCs w:val="18"/>
              </w:rPr>
              <w:t xml:space="preserve">FR-08</w:t>
            </w:r>
          </w:p>
        </w:tc>
        <w:tc>
          <w:tcPr>
            <w:tcW w:type="dxa" w:w="3629"/>
          </w:tcPr>
          <w:p>
            <w:r>
              <w:rPr>
                <w:b w:val="false"/>
                <w:bCs w:val="false"/>
                <w:sz w:val="18"/>
                <w:szCs w:val="18"/>
              </w:rPr>
              <w:t xml:space="preserve">The system shall never auto-respond to a ticket flagged must_not_auto_respond (security, compliance, billing dispute, data residency), always escalating regardless of confidence.</w:t>
            </w:r>
          </w:p>
        </w:tc>
        <w:tc>
          <w:tcPr>
            <w:tcW w:type="dxa" w:w="806"/>
          </w:tcPr>
          <w:p>
            <w:r>
              <w:rPr>
                <w:b w:val="false"/>
                <w:bCs w:val="false"/>
                <w:sz w:val="18"/>
                <w:szCs w:val="18"/>
              </w:rPr>
              <w:t xml:space="preserve">Must</w:t>
            </w:r>
          </w:p>
        </w:tc>
        <w:tc>
          <w:tcPr>
            <w:tcW w:type="dxa" w:w="3024"/>
          </w:tcPr>
          <w:p>
            <w:r>
              <w:rPr>
                <w:b w:val="false"/>
                <w:bCs w:val="false"/>
                <w:sz w:val="18"/>
                <w:szCs w:val="18"/>
              </w:rPr>
              <w:t xml:space="preserve">Discovery §1, Daniel's never-automate list; 101/580 tickets flagged, 100% historically escalated</w:t>
            </w:r>
          </w:p>
        </w:tc>
        <w:tc>
          <w:tcPr>
            <w:tcW w:type="dxa" w:w="1915"/>
          </w:tcPr>
          <w:p>
            <w:r>
              <w:rPr>
                <w:b w:val="false"/>
                <w:bCs w:val="false"/>
                <w:sz w:val="18"/>
                <w:szCs w:val="18"/>
              </w:rPr>
              <w:t xml:space="preserve">Governance / A7 boundary</w:t>
            </w:r>
          </w:p>
        </w:tc>
      </w:tr>
      <w:tr>
        <w:tc>
          <w:tcPr>
            <w:tcW w:type="dxa" w:w="706"/>
          </w:tcPr>
          <w:p>
            <w:r>
              <w:rPr>
                <w:b w:val="false"/>
                <w:bCs w:val="false"/>
                <w:sz w:val="18"/>
                <w:szCs w:val="18"/>
              </w:rPr>
              <w:t xml:space="preserve">FR-09</w:t>
            </w:r>
          </w:p>
        </w:tc>
        <w:tc>
          <w:tcPr>
            <w:tcW w:type="dxa" w:w="3629"/>
          </w:tcPr>
          <w:p>
            <w:r>
              <w:rPr>
                <w:b w:val="false"/>
                <w:bCs w:val="false"/>
                <w:sz w:val="18"/>
                <w:szCs w:val="18"/>
              </w:rPr>
              <w:t xml:space="preserve">Every automated decision shall be written to a persistent decision log with the minimum schema: decision_id, timestamp, ticket_id, stage, prediction, confidence, threshold, action_taken, reason, sources_used, guardrails, prompt_version.</w:t>
            </w:r>
          </w:p>
        </w:tc>
        <w:tc>
          <w:tcPr>
            <w:tcW w:type="dxa" w:w="806"/>
          </w:tcPr>
          <w:p>
            <w:r>
              <w:rPr>
                <w:b w:val="false"/>
                <w:bCs w:val="false"/>
                <w:sz w:val="18"/>
                <w:szCs w:val="18"/>
              </w:rPr>
              <w:t xml:space="preserve">Must</w:t>
            </w:r>
          </w:p>
        </w:tc>
        <w:tc>
          <w:tcPr>
            <w:tcW w:type="dxa" w:w="3024"/>
          </w:tcPr>
          <w:p>
            <w:r>
              <w:rPr>
                <w:b w:val="false"/>
                <w:bCs w:val="false"/>
                <w:sz w:val="18"/>
                <w:szCs w:val="18"/>
              </w:rPr>
              <w:t xml:space="preserve">Discovery §1, Marcus ("I need to be able to say why it did what it did")</w:t>
            </w:r>
          </w:p>
        </w:tc>
        <w:tc>
          <w:tcPr>
            <w:tcW w:type="dxa" w:w="1915"/>
          </w:tcPr>
          <w:p>
            <w:r>
              <w:rPr>
                <w:b w:val="false"/>
                <w:bCs w:val="false"/>
                <w:sz w:val="18"/>
                <w:szCs w:val="18"/>
              </w:rPr>
              <w:t xml:space="preserve">A8</w:t>
            </w:r>
          </w:p>
        </w:tc>
      </w:tr>
      <w:tr>
        <w:tc>
          <w:tcPr>
            <w:tcW w:type="dxa" w:w="706"/>
          </w:tcPr>
          <w:p>
            <w:r>
              <w:rPr>
                <w:b w:val="false"/>
                <w:bCs w:val="false"/>
                <w:sz w:val="18"/>
                <w:szCs w:val="18"/>
              </w:rPr>
              <w:t xml:space="preserve">FR-10</w:t>
            </w:r>
          </w:p>
        </w:tc>
        <w:tc>
          <w:tcPr>
            <w:tcW w:type="dxa" w:w="3629"/>
          </w:tcPr>
          <w:p>
            <w:r>
              <w:rPr>
                <w:b w:val="false"/>
                <w:bCs w:val="false"/>
                <w:sz w:val="18"/>
                <w:szCs w:val="18"/>
              </w:rPr>
              <w:t xml:space="preserve">Escalated tickets shall carry a drafted summary and the retrieved sources considered, alongside the original ticket.</w:t>
            </w:r>
          </w:p>
        </w:tc>
        <w:tc>
          <w:tcPr>
            <w:tcW w:type="dxa" w:w="806"/>
          </w:tcPr>
          <w:p>
            <w:r>
              <w:rPr>
                <w:b w:val="false"/>
                <w:bCs w:val="false"/>
                <w:sz w:val="18"/>
                <w:szCs w:val="18"/>
              </w:rPr>
              <w:t xml:space="preserve">Must</w:t>
            </w:r>
          </w:p>
        </w:tc>
        <w:tc>
          <w:tcPr>
            <w:tcW w:type="dxa" w:w="3024"/>
          </w:tcPr>
          <w:p>
            <w:r>
              <w:rPr>
                <w:b w:val="false"/>
                <w:bCs w:val="false"/>
                <w:sz w:val="18"/>
                <w:szCs w:val="18"/>
              </w:rPr>
              <w:t xml:space="preserve">Discovery §1, Daniel ("I need it to show its working")</w:t>
            </w:r>
          </w:p>
        </w:tc>
        <w:tc>
          <w:tcPr>
            <w:tcW w:type="dxa" w:w="1915"/>
          </w:tcPr>
          <w:p>
            <w:r>
              <w:rPr>
                <w:b w:val="false"/>
                <w:bCs w:val="false"/>
                <w:sz w:val="18"/>
                <w:szCs w:val="18"/>
              </w:rPr>
              <w:t xml:space="preserve">Build Spec §03 "Route"</w:t>
            </w:r>
          </w:p>
        </w:tc>
      </w:tr>
      <w:tr>
        <w:tc>
          <w:tcPr>
            <w:tcW w:type="dxa" w:w="706"/>
          </w:tcPr>
          <w:p>
            <w:r>
              <w:rPr>
                <w:b w:val="false"/>
                <w:bCs w:val="false"/>
                <w:sz w:val="18"/>
                <w:szCs w:val="18"/>
              </w:rPr>
              <w:t xml:space="preserve">FR-11</w:t>
            </w:r>
          </w:p>
        </w:tc>
        <w:tc>
          <w:tcPr>
            <w:tcW w:type="dxa" w:w="3629"/>
          </w:tcPr>
          <w:p>
            <w:r>
              <w:rPr>
                <w:b w:val="false"/>
                <w:bCs w:val="false"/>
                <w:sz w:val="18"/>
                <w:szCs w:val="18"/>
              </w:rPr>
              <w:t xml:space="preserve">The system shall provide a single documented command that processes an entire ticket file end to end, unattended, accepting an input path and output path as arguments, and shall produce a metrics report automatically.</w:t>
            </w:r>
          </w:p>
        </w:tc>
        <w:tc>
          <w:tcPr>
            <w:tcW w:type="dxa" w:w="806"/>
          </w:tcPr>
          <w:p>
            <w:r>
              <w:rPr>
                <w:b w:val="false"/>
                <w:bCs w:val="false"/>
                <w:sz w:val="18"/>
                <w:szCs w:val="18"/>
              </w:rPr>
              <w:t xml:space="preserve">Must</w:t>
            </w:r>
          </w:p>
        </w:tc>
        <w:tc>
          <w:tcPr>
            <w:tcW w:type="dxa" w:w="3024"/>
          </w:tcPr>
          <w:p>
            <w:r>
              <w:rPr>
                <w:b w:val="false"/>
                <w:bCs w:val="false"/>
                <w:sz w:val="18"/>
                <w:szCs w:val="18"/>
              </w:rPr>
              <w:t xml:space="preserve">Dataset Guide / Build Specification — hidden 120-ticket set never distributed</w:t>
            </w:r>
          </w:p>
        </w:tc>
        <w:tc>
          <w:tcPr>
            <w:tcW w:type="dxa" w:w="1915"/>
          </w:tcPr>
          <w:p>
            <w:r>
              <w:rPr>
                <w:b w:val="false"/>
                <w:bCs w:val="false"/>
                <w:sz w:val="18"/>
                <w:szCs w:val="18"/>
              </w:rPr>
              <w:t xml:space="preserve">A1, A9, A10</w:t>
            </w:r>
          </w:p>
        </w:tc>
      </w:tr>
      <w:tr>
        <w:tc>
          <w:tcPr>
            <w:tcW w:type="dxa" w:w="706"/>
          </w:tcPr>
          <w:p>
            <w:r>
              <w:rPr>
                <w:b w:val="false"/>
                <w:bCs w:val="false"/>
                <w:sz w:val="18"/>
                <w:szCs w:val="18"/>
              </w:rPr>
              <w:t xml:space="preserve">FR-12</w:t>
            </w:r>
          </w:p>
        </w:tc>
        <w:tc>
          <w:tcPr>
            <w:tcW w:type="dxa" w:w="3629"/>
          </w:tcPr>
          <w:p>
            <w:r>
              <w:rPr>
                <w:b w:val="false"/>
                <w:bCs w:val="false"/>
                <w:sz w:val="18"/>
                <w:szCs w:val="18"/>
              </w:rPr>
              <w:t xml:space="preserve">Every response labelled as automated shall be visibly marked as such to the recipient.</w:t>
            </w:r>
          </w:p>
        </w:tc>
        <w:tc>
          <w:tcPr>
            <w:tcW w:type="dxa" w:w="806"/>
          </w:tcPr>
          <w:p>
            <w:r>
              <w:rPr>
                <w:b w:val="false"/>
                <w:bCs w:val="false"/>
                <w:sz w:val="18"/>
                <w:szCs w:val="18"/>
              </w:rPr>
              <w:t xml:space="preserve">Should</w:t>
            </w:r>
          </w:p>
        </w:tc>
        <w:tc>
          <w:tcPr>
            <w:tcW w:type="dxa" w:w="3024"/>
          </w:tcPr>
          <w:p>
            <w:r>
              <w:rPr>
                <w:b w:val="false"/>
                <w:bCs w:val="false"/>
                <w:sz w:val="18"/>
                <w:szCs w:val="18"/>
              </w:rPr>
              <w:t xml:space="preserve">Discovery §1, Ravi ("that is how I calibrate how much I trust it")</w:t>
            </w:r>
          </w:p>
        </w:tc>
        <w:tc>
          <w:tcPr>
            <w:tcW w:type="dxa" w:w="1915"/>
          </w:tcPr>
          <w:p>
            <w:r>
              <w:rPr>
                <w:b w:val="false"/>
                <w:bCs w:val="false"/>
                <w:sz w:val="18"/>
                <w:szCs w:val="18"/>
              </w:rPr>
              <w:t xml:space="preserve">(customer-trust requirement)</w:t>
            </w:r>
          </w:p>
        </w:tc>
      </w:tr>
    </w:tbl>
    <w:p>
      <w:r>
        <w:br w:type="page"/>
      </w:r>
    </w:p>
    <w:p>
      <w:pPr>
        <w:pStyle w:val="Heading1"/>
        <w:spacing w:after="150" w:before="300"/>
      </w:pPr>
      <w:r>
        <w:t xml:space="preserve">5. Non-functional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1411"/>
        <w:gridCol w:w="4838"/>
        <w:gridCol w:w="2822"/>
      </w:tblGrid>
      <w:tr>
        <w:trPr>
          <w:tblHeader/>
        </w:trPr>
        <w:tc>
          <w:tcPr>
            <w:tcW w:type="dxa" w:w="1008"/>
            <w:shd w:fill="DCE6F1" w:val="clear"/>
          </w:tcPr>
          <w:p>
            <w:r>
              <w:rPr>
                <w:b/>
                <w:bCs/>
                <w:sz w:val="18"/>
                <w:szCs w:val="18"/>
              </w:rPr>
              <w:t xml:space="preserve">ID</w:t>
            </w:r>
          </w:p>
        </w:tc>
        <w:tc>
          <w:tcPr>
            <w:tcW w:type="dxa" w:w="1411"/>
            <w:shd w:fill="DCE6F1" w:val="clear"/>
          </w:tcPr>
          <w:p>
            <w:r>
              <w:rPr>
                <w:b/>
                <w:bCs/>
                <w:sz w:val="18"/>
                <w:szCs w:val="18"/>
              </w:rPr>
              <w:t xml:space="preserve">Category</w:t>
            </w:r>
          </w:p>
        </w:tc>
        <w:tc>
          <w:tcPr>
            <w:tcW w:type="dxa" w:w="4838"/>
            <w:shd w:fill="DCE6F1" w:val="clear"/>
          </w:tcPr>
          <w:p>
            <w:r>
              <w:rPr>
                <w:b/>
                <w:bCs/>
                <w:sz w:val="18"/>
                <w:szCs w:val="18"/>
              </w:rPr>
              <w:t xml:space="preserve">Requirement</w:t>
            </w:r>
          </w:p>
        </w:tc>
        <w:tc>
          <w:tcPr>
            <w:tcW w:type="dxa" w:w="2822"/>
            <w:shd w:fill="DCE6F1" w:val="clear"/>
          </w:tcPr>
          <w:p>
            <w:r>
              <w:rPr>
                <w:b/>
                <w:bCs/>
                <w:sz w:val="18"/>
                <w:szCs w:val="18"/>
              </w:rPr>
              <w:t xml:space="preserve">How it will be verified</w:t>
            </w:r>
          </w:p>
        </w:tc>
      </w:tr>
      <w:tr>
        <w:tc>
          <w:tcPr>
            <w:tcW w:type="dxa" w:w="1008"/>
          </w:tcPr>
          <w:p>
            <w:r>
              <w:rPr>
                <w:b w:val="false"/>
                <w:bCs w:val="false"/>
                <w:sz w:val="18"/>
                <w:szCs w:val="18"/>
              </w:rPr>
              <w:t xml:space="preserve">NFR-01</w:t>
            </w:r>
          </w:p>
        </w:tc>
        <w:tc>
          <w:tcPr>
            <w:tcW w:type="dxa" w:w="1411"/>
          </w:tcPr>
          <w:p>
            <w:r>
              <w:rPr>
                <w:b w:val="false"/>
                <w:bCs w:val="false"/>
                <w:sz w:val="18"/>
                <w:szCs w:val="18"/>
              </w:rPr>
              <w:t xml:space="preserve">Latency</w:t>
            </w:r>
          </w:p>
        </w:tc>
        <w:tc>
          <w:tcPr>
            <w:tcW w:type="dxa" w:w="4838"/>
          </w:tcPr>
          <w:p>
            <w:r>
              <w:rPr>
                <w:b w:val="false"/>
                <w:bCs w:val="false"/>
                <w:sz w:val="18"/>
                <w:szCs w:val="18"/>
              </w:rPr>
              <w:t xml:space="preserve">Median end-to-end response latency should materially improve on the 8–12hr baseline; p95 latency shall be tracked and reported.</w:t>
            </w:r>
          </w:p>
        </w:tc>
        <w:tc>
          <w:tcPr>
            <w:tcW w:type="dxa" w:w="2822"/>
          </w:tcPr>
          <w:p>
            <w:r>
              <w:rPr>
                <w:b w:val="false"/>
                <w:bCs w:val="false"/>
                <w:sz w:val="18"/>
                <w:szCs w:val="18"/>
              </w:rPr>
              <w:t xml:space="preserve">metrics report's technical.latency_p50/p95_seconds (A10)</w:t>
            </w:r>
          </w:p>
        </w:tc>
      </w:tr>
      <w:tr>
        <w:tc>
          <w:tcPr>
            <w:tcW w:type="dxa" w:w="1008"/>
          </w:tcPr>
          <w:p>
            <w:r>
              <w:rPr>
                <w:b w:val="false"/>
                <w:bCs w:val="false"/>
                <w:sz w:val="18"/>
                <w:szCs w:val="18"/>
              </w:rPr>
              <w:t xml:space="preserve">NFR-02</w:t>
            </w:r>
          </w:p>
        </w:tc>
        <w:tc>
          <w:tcPr>
            <w:tcW w:type="dxa" w:w="1411"/>
          </w:tcPr>
          <w:p>
            <w:r>
              <w:rPr>
                <w:b w:val="false"/>
                <w:bCs w:val="false"/>
                <w:sz w:val="18"/>
                <w:szCs w:val="18"/>
              </w:rPr>
              <w:t xml:space="preserve">Availability</w:t>
            </w:r>
          </w:p>
        </w:tc>
        <w:tc>
          <w:tcPr>
            <w:tcW w:type="dxa" w:w="4838"/>
          </w:tcPr>
          <w:p>
            <w:r>
              <w:rPr>
                <w:b w:val="false"/>
                <w:bCs w:val="false"/>
                <w:sz w:val="18"/>
                <w:szCs w:val="18"/>
              </w:rPr>
              <w:t xml:space="preserve">The system shall degrade gracefully — continue processing rather than crash — under model-provider timeout, outage, rate limiting, or malformed input.</w:t>
            </w:r>
          </w:p>
        </w:tc>
        <w:tc>
          <w:tcPr>
            <w:tcW w:type="dxa" w:w="2822"/>
          </w:tcPr>
          <w:p>
            <w:r>
              <w:rPr>
                <w:b w:val="false"/>
                <w:bCs w:val="false"/>
                <w:sz w:val="18"/>
                <w:szCs w:val="18"/>
              </w:rPr>
              <w:t xml:space="preserve">Each condition induced deliberately, including full provider disconnection (A11)</w:t>
            </w:r>
          </w:p>
        </w:tc>
      </w:tr>
      <w:tr>
        <w:tc>
          <w:tcPr>
            <w:tcW w:type="dxa" w:w="1008"/>
          </w:tcPr>
          <w:p>
            <w:r>
              <w:rPr>
                <w:b w:val="false"/>
                <w:bCs w:val="false"/>
                <w:sz w:val="18"/>
                <w:szCs w:val="18"/>
              </w:rPr>
              <w:t xml:space="preserve">NFR-03</w:t>
            </w:r>
          </w:p>
        </w:tc>
        <w:tc>
          <w:tcPr>
            <w:tcW w:type="dxa" w:w="1411"/>
          </w:tcPr>
          <w:p>
            <w:r>
              <w:rPr>
                <w:b w:val="false"/>
                <w:bCs w:val="false"/>
                <w:sz w:val="18"/>
                <w:szCs w:val="18"/>
              </w:rPr>
              <w:t xml:space="preserve">Accuracy</w:t>
            </w:r>
          </w:p>
        </w:tc>
        <w:tc>
          <w:tcPr>
            <w:tcW w:type="dxa" w:w="4838"/>
          </w:tcPr>
          <w:p>
            <w:r>
              <w:rPr>
                <w:b w:val="false"/>
                <w:bCs w:val="false"/>
                <w:sz w:val="18"/>
                <w:szCs w:val="18"/>
              </w:rPr>
              <w:t xml:space="preserve">Classification precision and recall shall be measured per intent class, not only in aggregate, since 22 classes are unevenly distributed.</w:t>
            </w:r>
          </w:p>
        </w:tc>
        <w:tc>
          <w:tcPr>
            <w:tcW w:type="dxa" w:w="2822"/>
          </w:tcPr>
          <w:p>
            <w:r>
              <w:rPr>
                <w:b w:val="false"/>
                <w:bCs w:val="false"/>
                <w:sz w:val="18"/>
                <w:szCs w:val="18"/>
              </w:rPr>
              <w:t xml:space="preserve">metrics report's technical.classification_precision/recall_by_class (A10)</w:t>
            </w:r>
          </w:p>
        </w:tc>
      </w:tr>
      <w:tr>
        <w:tc>
          <w:tcPr>
            <w:tcW w:type="dxa" w:w="1008"/>
          </w:tcPr>
          <w:p>
            <w:r>
              <w:rPr>
                <w:b w:val="false"/>
                <w:bCs w:val="false"/>
                <w:sz w:val="18"/>
                <w:szCs w:val="18"/>
              </w:rPr>
              <w:t xml:space="preserve">NFR-04</w:t>
            </w:r>
          </w:p>
        </w:tc>
        <w:tc>
          <w:tcPr>
            <w:tcW w:type="dxa" w:w="1411"/>
          </w:tcPr>
          <w:p>
            <w:r>
              <w:rPr>
                <w:b w:val="false"/>
                <w:bCs w:val="false"/>
                <w:sz w:val="18"/>
                <w:szCs w:val="18"/>
              </w:rPr>
              <w:t xml:space="preserve">Privacy</w:t>
            </w:r>
          </w:p>
        </w:tc>
        <w:tc>
          <w:tcPr>
            <w:tcW w:type="dxa" w:w="4838"/>
          </w:tcPr>
          <w:p>
            <w:r>
              <w:rPr>
                <w:b w:val="false"/>
                <w:bCs w:val="false"/>
                <w:sz w:val="18"/>
                <w:szCs w:val="18"/>
              </w:rPr>
              <w:t xml:space="preserve">No response shall be released containing unredacted private/identifying customer data.</w:t>
            </w:r>
          </w:p>
        </w:tc>
        <w:tc>
          <w:tcPr>
            <w:tcW w:type="dxa" w:w="2822"/>
          </w:tcPr>
          <w:p>
            <w:r>
              <w:rPr>
                <w:b w:val="false"/>
                <w:bCs w:val="false"/>
                <w:sz w:val="18"/>
                <w:szCs w:val="18"/>
              </w:rPr>
              <w:t xml:space="preserve">Guardrail check logged and enforced on every response (FR-07); private_data_detections counted in metrics</w:t>
            </w:r>
          </w:p>
        </w:tc>
      </w:tr>
      <w:tr>
        <w:tc>
          <w:tcPr>
            <w:tcW w:type="dxa" w:w="1008"/>
          </w:tcPr>
          <w:p>
            <w:r>
              <w:rPr>
                <w:b w:val="false"/>
                <w:bCs w:val="false"/>
                <w:sz w:val="18"/>
                <w:szCs w:val="18"/>
              </w:rPr>
              <w:t xml:space="preserve">NFR-05</w:t>
            </w:r>
          </w:p>
        </w:tc>
        <w:tc>
          <w:tcPr>
            <w:tcW w:type="dxa" w:w="1411"/>
          </w:tcPr>
          <w:p>
            <w:r>
              <w:rPr>
                <w:b w:val="false"/>
                <w:bCs w:val="false"/>
                <w:sz w:val="18"/>
                <w:szCs w:val="18"/>
              </w:rPr>
              <w:t xml:space="preserve">Auditability</w:t>
            </w:r>
          </w:p>
        </w:tc>
        <w:tc>
          <w:tcPr>
            <w:tcW w:type="dxa" w:w="4838"/>
          </w:tcPr>
          <w:p>
            <w:r>
              <w:rPr>
                <w:b w:val="false"/>
                <w:bCs w:val="false"/>
                <w:sz w:val="18"/>
                <w:szCs w:val="18"/>
              </w:rPr>
              <w:t xml:space="preserve">Every decision shall be reconstructable after the fact from the decision log alone.</w:t>
            </w:r>
          </w:p>
        </w:tc>
        <w:tc>
          <w:tcPr>
            <w:tcW w:type="dxa" w:w="2822"/>
          </w:tcPr>
          <w:p>
            <w:r>
              <w:rPr>
                <w:b w:val="false"/>
                <w:bCs w:val="false"/>
                <w:sz w:val="18"/>
                <w:szCs w:val="18"/>
              </w:rPr>
              <w:t xml:space="preserve">Decision log opened and reconciled against tickets processed (A8)</w:t>
            </w:r>
          </w:p>
        </w:tc>
      </w:tr>
      <w:tr>
        <w:tc>
          <w:tcPr>
            <w:tcW w:type="dxa" w:w="1008"/>
          </w:tcPr>
          <w:p>
            <w:r>
              <w:rPr>
                <w:b w:val="false"/>
                <w:bCs w:val="false"/>
                <w:sz w:val="18"/>
                <w:szCs w:val="18"/>
              </w:rPr>
              <w:t xml:space="preserve">NFR-06</w:t>
            </w:r>
          </w:p>
        </w:tc>
        <w:tc>
          <w:tcPr>
            <w:tcW w:type="dxa" w:w="1411"/>
          </w:tcPr>
          <w:p>
            <w:r>
              <w:rPr>
                <w:b w:val="false"/>
                <w:bCs w:val="false"/>
                <w:sz w:val="18"/>
                <w:szCs w:val="18"/>
              </w:rPr>
              <w:t xml:space="preserve">Fairness</w:t>
            </w:r>
          </w:p>
        </w:tc>
        <w:tc>
          <w:tcPr>
            <w:tcW w:type="dxa" w:w="4838"/>
          </w:tcPr>
          <w:p>
            <w:r>
              <w:rPr>
                <w:b w:val="false"/>
                <w:bCs w:val="false"/>
                <w:sz w:val="18"/>
                <w:szCs w:val="18"/>
              </w:rPr>
              <w:t xml:space="preserve">Resolution quality and citation accuracy shall be measured and reported separately by customer_tier, customer_region, and language_fluency.</w:t>
            </w:r>
          </w:p>
        </w:tc>
        <w:tc>
          <w:tcPr>
            <w:tcW w:type="dxa" w:w="2822"/>
          </w:tcPr>
          <w:p>
            <w:r>
              <w:rPr>
                <w:b w:val="false"/>
                <w:bCs w:val="false"/>
                <w:sz w:val="18"/>
                <w:szCs w:val="18"/>
              </w:rPr>
              <w:t xml:space="preserve">Governance Framework's fairness audit, against the segmented figures already surfaced in Discovery</w:t>
            </w:r>
          </w:p>
        </w:tc>
      </w:tr>
      <w:tr>
        <w:tc>
          <w:tcPr>
            <w:tcW w:type="dxa" w:w="1008"/>
          </w:tcPr>
          <w:p>
            <w:r>
              <w:rPr>
                <w:b w:val="false"/>
                <w:bCs w:val="false"/>
                <w:sz w:val="18"/>
                <w:szCs w:val="18"/>
              </w:rPr>
              <w:t xml:space="preserve">NFR-07</w:t>
            </w:r>
          </w:p>
        </w:tc>
        <w:tc>
          <w:tcPr>
            <w:tcW w:type="dxa" w:w="1411"/>
          </w:tcPr>
          <w:p>
            <w:r>
              <w:rPr>
                <w:b w:val="false"/>
                <w:bCs w:val="false"/>
                <w:sz w:val="18"/>
                <w:szCs w:val="18"/>
              </w:rPr>
              <w:t xml:space="preserve">Cost</w:t>
            </w:r>
          </w:p>
        </w:tc>
        <w:tc>
          <w:tcPr>
            <w:tcW w:type="dxa" w:w="4838"/>
          </w:tcPr>
          <w:p>
            <w:r>
              <w:rPr>
                <w:b w:val="false"/>
                <w:bCs w:val="false"/>
                <w:sz w:val="18"/>
                <w:szCs w:val="18"/>
              </w:rPr>
              <w:t xml:space="preserve">The system shall run entirely within the free tier of its chosen model provider.</w:t>
            </w:r>
          </w:p>
        </w:tc>
        <w:tc>
          <w:tcPr>
            <w:tcW w:type="dxa" w:w="2822"/>
          </w:tcPr>
          <w:p>
            <w:r>
              <w:rPr>
                <w:b w:val="false"/>
                <w:bCs w:val="false"/>
                <w:sz w:val="18"/>
                <w:szCs w:val="18"/>
              </w:rPr>
              <w:t xml:space="preserve">Manual confirmation the full validation run completes within free-tier rate limits</w:t>
            </w:r>
          </w:p>
        </w:tc>
      </w:tr>
    </w:tbl>
    <w:p>
      <w:r>
        <w:br w:type="page"/>
      </w:r>
    </w:p>
    <w:p>
      <w:pPr>
        <w:pStyle w:val="Heading1"/>
        <w:spacing w:after="150" w:before="300"/>
      </w:pPr>
      <w:r>
        <w:t xml:space="preserve">6. What is deliberately out of scope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3629"/>
        <w:gridCol w:w="3629"/>
      </w:tblGrid>
      <w:tr>
        <w:trPr>
          <w:tblHeader/>
        </w:trPr>
        <w:tc>
          <w:tcPr>
            <w:tcW w:type="dxa" w:w="2822"/>
            <w:shd w:fill="DCE6F1" w:val="clear"/>
          </w:tcPr>
          <w:p>
            <w:r>
              <w:rPr>
                <w:b/>
                <w:bCs/>
                <w:sz w:val="18"/>
                <w:szCs w:val="18"/>
              </w:rPr>
              <w:t xml:space="preserve">Not building</w:t>
            </w:r>
          </w:p>
        </w:tc>
        <w:tc>
          <w:tcPr>
            <w:tcW w:type="dxa" w:w="3629"/>
            <w:shd w:fill="DCE6F1" w:val="clear"/>
          </w:tcPr>
          <w:p>
            <w:r>
              <w:rPr>
                <w:b/>
                <w:bCs/>
                <w:sz w:val="18"/>
                <w:szCs w:val="18"/>
              </w:rPr>
              <w:t xml:space="preserve">Why not</w:t>
            </w:r>
          </w:p>
        </w:tc>
        <w:tc>
          <w:tcPr>
            <w:tcW w:type="dxa" w:w="3629"/>
            <w:shd w:fill="DCE6F1" w:val="clear"/>
          </w:tcPr>
          <w:p>
            <w:r>
              <w:rPr>
                <w:b/>
                <w:bCs/>
                <w:sz w:val="18"/>
                <w:szCs w:val="18"/>
              </w:rPr>
              <w:t xml:space="preserve">What would have to change for this to be reconsidered</w:t>
            </w:r>
          </w:p>
        </w:tc>
      </w:tr>
      <w:tr>
        <w:tc>
          <w:tcPr>
            <w:tcW w:type="dxa" w:w="2822"/>
          </w:tcPr>
          <w:p>
            <w:r>
              <w:rPr>
                <w:b w:val="false"/>
                <w:bCs w:val="false"/>
                <w:sz w:val="18"/>
                <w:szCs w:val="18"/>
              </w:rPr>
              <w:t xml:space="preserve">Automated responses to feature requests or roadmap/timing questions</w:t>
            </w:r>
          </w:p>
        </w:tc>
        <w:tc>
          <w:tcPr>
            <w:tcW w:type="dxa" w:w="3629"/>
          </w:tcPr>
          <w:p>
            <w:r>
              <w:rPr>
                <w:b w:val="false"/>
                <w:bCs w:val="false"/>
                <w:sz w:val="18"/>
                <w:szCs w:val="18"/>
              </w:rPr>
              <w:t xml:space="preserve">Zero documentation coverage confirmed in the data — no ground truth to retrieve or cite</w:t>
            </w:r>
          </w:p>
        </w:tc>
        <w:tc>
          <w:tcPr>
            <w:tcW w:type="dxa" w:w="3629"/>
          </w:tcPr>
          <w:p>
            <w:r>
              <w:rPr>
                <w:b w:val="false"/>
                <w:bCs w:val="false"/>
                <w:sz w:val="18"/>
                <w:szCs w:val="18"/>
              </w:rPr>
              <w:t xml:space="preserve">A dedicated, reviewed knowledge base for product roadmap content would need to exist first</w:t>
            </w:r>
          </w:p>
        </w:tc>
      </w:tr>
      <w:tr>
        <w:tc>
          <w:tcPr>
            <w:tcW w:type="dxa" w:w="2822"/>
          </w:tcPr>
          <w:p>
            <w:r>
              <w:rPr>
                <w:b w:val="false"/>
                <w:bCs w:val="false"/>
                <w:sz w:val="18"/>
                <w:szCs w:val="18"/>
              </w:rPr>
              <w:t xml:space="preserve">Automated responses to genuinely novel incidents (unclear_request)</w:t>
            </w:r>
          </w:p>
        </w:tc>
        <w:tc>
          <w:tcPr>
            <w:tcW w:type="dxa" w:w="3629"/>
          </w:tcPr>
          <w:p>
            <w:r>
              <w:rPr>
                <w:b w:val="false"/>
                <w:bCs w:val="false"/>
                <w:sz w:val="18"/>
                <w:szCs w:val="18"/>
              </w:rPr>
              <w:t xml:space="preserve">By definition no article yet exists; a wrong answer here does the most damage per Ines</w:t>
            </w:r>
          </w:p>
        </w:tc>
        <w:tc>
          <w:tcPr>
            <w:tcW w:type="dxa" w:w="3629"/>
          </w:tcPr>
          <w:p>
            <w:r>
              <w:rPr>
                <w:b w:val="false"/>
                <w:bCs w:val="false"/>
                <w:sz w:val="18"/>
                <w:szCs w:val="18"/>
              </w:rPr>
              <w:t xml:space="preserve">Not reconsidered within this system's design — always routed to a human</w:t>
            </w:r>
          </w:p>
        </w:tc>
      </w:tr>
      <w:tr>
        <w:tc>
          <w:tcPr>
            <w:tcW w:type="dxa" w:w="2822"/>
          </w:tcPr>
          <w:p>
            <w:r>
              <w:rPr>
                <w:b w:val="false"/>
                <w:bCs w:val="false"/>
                <w:sz w:val="18"/>
                <w:szCs w:val="18"/>
              </w:rPr>
              <w:t xml:space="preserve">Automated responses to security_incident, compliance_request, or data-residency tickets</w:t>
            </w:r>
          </w:p>
        </w:tc>
        <w:tc>
          <w:tcPr>
            <w:tcW w:type="dxa" w:w="3629"/>
          </w:tcPr>
          <w:p>
            <w:r>
              <w:rPr>
                <w:b w:val="false"/>
                <w:bCs w:val="false"/>
                <w:sz w:val="18"/>
                <w:szCs w:val="18"/>
              </w:rPr>
              <w:t xml:space="preserve">Daniel's explicit never-automate list; 101/580 tickets flagged must_not_auto_respond, 100% historically escalated</w:t>
            </w:r>
          </w:p>
        </w:tc>
        <w:tc>
          <w:tcPr>
            <w:tcW w:type="dxa" w:w="3629"/>
          </w:tcPr>
          <w:p>
            <w:r>
              <w:rPr>
                <w:b w:val="false"/>
                <w:bCs w:val="false"/>
                <w:sz w:val="18"/>
                <w:szCs w:val="18"/>
              </w:rPr>
              <w:t xml:space="preserve">A separate, more heavily governed workflow with its own sign-off process — out of scope for this capstone</w:t>
            </w:r>
          </w:p>
        </w:tc>
      </w:tr>
      <w:tr>
        <w:tc>
          <w:tcPr>
            <w:tcW w:type="dxa" w:w="2822"/>
          </w:tcPr>
          <w:p>
            <w:r>
              <w:rPr>
                <w:b w:val="false"/>
                <w:bCs w:val="false"/>
                <w:sz w:val="18"/>
                <w:szCs w:val="18"/>
              </w:rPr>
              <w:t xml:space="preserve">Consolidating or replacing agents' personal answer files</w:t>
            </w:r>
          </w:p>
        </w:tc>
        <w:tc>
          <w:tcPr>
            <w:tcW w:type="dxa" w:w="3629"/>
          </w:tcPr>
          <w:p>
            <w:r>
              <w:rPr>
                <w:b w:val="false"/>
                <w:bCs w:val="false"/>
                <w:sz w:val="18"/>
                <w:szCs w:val="18"/>
              </w:rPr>
              <w:t xml:space="preserve">Unreviewed and possibly stale; incorporating them risks scaling up an existing error</w:t>
            </w:r>
          </w:p>
        </w:tc>
        <w:tc>
          <w:tcPr>
            <w:tcW w:type="dxa" w:w="3629"/>
          </w:tcPr>
          <w:p>
            <w:r>
              <w:rPr>
                <w:b w:val="false"/>
                <w:bCs w:val="false"/>
                <w:sz w:val="18"/>
                <w:szCs w:val="18"/>
              </w:rPr>
              <w:t xml:space="preserve">Only after a formal review process brings them up to the same standard as the 29 reviewed KB articles</w:t>
            </w:r>
          </w:p>
        </w:tc>
      </w:tr>
      <w:tr>
        <w:tc>
          <w:tcPr>
            <w:tcW w:type="dxa" w:w="2822"/>
          </w:tcPr>
          <w:p>
            <w:r>
              <w:rPr>
                <w:b w:val="false"/>
                <w:bCs w:val="false"/>
                <w:sz w:val="18"/>
                <w:szCs w:val="18"/>
              </w:rPr>
              <w:t xml:space="preserve">A conversational, multi-turn chatbot interface</w:t>
            </w:r>
          </w:p>
        </w:tc>
        <w:tc>
          <w:tcPr>
            <w:tcW w:type="dxa" w:w="3629"/>
          </w:tcPr>
          <w:p>
            <w:r>
              <w:rPr>
                <w:b w:val="false"/>
                <w:bCs w:val="false"/>
                <w:sz w:val="18"/>
                <w:szCs w:val="18"/>
              </w:rPr>
              <w:t xml:space="preserve">This is the client's original request, and Discovery found it addresses the wrong problem</w:t>
            </w:r>
          </w:p>
        </w:tc>
        <w:tc>
          <w:tcPr>
            <w:tcW w:type="dxa" w:w="3629"/>
          </w:tcPr>
          <w:p>
            <w:r>
              <w:rPr>
                <w:b w:val="false"/>
                <w:bCs w:val="false"/>
                <w:sz w:val="18"/>
                <w:szCs w:val="18"/>
              </w:rPr>
              <w:t xml:space="preserve">Would only be reconsidered as a v2 feature once the retrieval/routing/guardrail core is proven</w:t>
            </w:r>
          </w:p>
        </w:tc>
      </w:tr>
      <w:tr>
        <w:tc>
          <w:tcPr>
            <w:tcW w:type="dxa" w:w="2822"/>
          </w:tcPr>
          <w:p>
            <w:r>
              <w:rPr>
                <w:b w:val="false"/>
                <w:bCs w:val="false"/>
                <w:sz w:val="18"/>
                <w:szCs w:val="18"/>
              </w:rPr>
              <w:t xml:space="preserve">Rewriting or improving the content of the 29 KB articles</w:t>
            </w:r>
          </w:p>
        </w:tc>
        <w:tc>
          <w:tcPr>
            <w:tcW w:type="dxa" w:w="3629"/>
          </w:tcPr>
          <w:p>
            <w:r>
              <w:rPr>
                <w:b w:val="false"/>
                <w:bCs w:val="false"/>
                <w:sz w:val="18"/>
                <w:szCs w:val="18"/>
              </w:rPr>
              <w:t xml:space="preserve">Confirmed accurate within the review cycle; the evidenced problem is findability, not content quality</w:t>
            </w:r>
          </w:p>
        </w:tc>
        <w:tc>
          <w:tcPr>
            <w:tcW w:type="dxa" w:w="3629"/>
          </w:tcPr>
          <w:p>
            <w:r>
              <w:rPr>
                <w:b w:val="false"/>
                <w:bCs w:val="false"/>
                <w:sz w:val="18"/>
                <w:szCs w:val="18"/>
              </w:rPr>
              <w:t xml:space="preserve">If future fairness or accuracy audits find the articles themselves are the limiting factor</w:t>
            </w:r>
          </w:p>
        </w:tc>
      </w:tr>
    </w:tbl>
    <w:p>
      <w:r>
        <w:br w:type="page"/>
      </w:r>
    </w:p>
    <w:p>
      <w:pPr>
        <w:pStyle w:val="Heading1"/>
        <w:spacing w:after="150" w:before="300"/>
      </w:pPr>
      <w:r>
        <w:t xml:space="preserve">7. Assumptions and their consequences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2419"/>
        <w:gridCol w:w="2621"/>
        <w:gridCol w:w="2419"/>
      </w:tblGrid>
      <w:tr>
        <w:trPr>
          <w:tblHeader/>
        </w:trPr>
        <w:tc>
          <w:tcPr>
            <w:tcW w:type="dxa" w:w="2621"/>
            <w:shd w:fill="DCE6F1" w:val="clear"/>
          </w:tcPr>
          <w:p>
            <w:r>
              <w:rPr>
                <w:b/>
                <w:bCs/>
                <w:sz w:val="18"/>
                <w:szCs w:val="18"/>
              </w:rPr>
              <w:t xml:space="preserve">Assumption</w:t>
            </w:r>
          </w:p>
        </w:tc>
        <w:tc>
          <w:tcPr>
            <w:tcW w:type="dxa" w:w="2419"/>
            <w:shd w:fill="DCE6F1" w:val="clear"/>
          </w:tcPr>
          <w:p>
            <w:r>
              <w:rPr>
                <w:b/>
                <w:bCs/>
                <w:sz w:val="18"/>
                <w:szCs w:val="18"/>
              </w:rPr>
              <w:t xml:space="preserve">Why you believe it</w:t>
            </w:r>
          </w:p>
        </w:tc>
        <w:tc>
          <w:tcPr>
            <w:tcW w:type="dxa" w:w="2621"/>
            <w:shd w:fill="DCE6F1" w:val="clear"/>
          </w:tcPr>
          <w:p>
            <w:r>
              <w:rPr>
                <w:b/>
                <w:bCs/>
                <w:sz w:val="18"/>
                <w:szCs w:val="18"/>
              </w:rPr>
              <w:t xml:space="preserve">What happens if it is false</w:t>
            </w:r>
          </w:p>
        </w:tc>
        <w:tc>
          <w:tcPr>
            <w:tcW w:type="dxa" w:w="2419"/>
            <w:shd w:fill="DCE6F1" w:val="clear"/>
          </w:tcPr>
          <w:p>
            <w:r>
              <w:rPr>
                <w:b/>
                <w:bCs/>
                <w:sz w:val="18"/>
                <w:szCs w:val="18"/>
              </w:rPr>
              <w:t xml:space="preserve">How you will find out</w:t>
            </w:r>
          </w:p>
        </w:tc>
      </w:tr>
      <w:tr>
        <w:tc>
          <w:tcPr>
            <w:tcW w:type="dxa" w:w="2621"/>
          </w:tcPr>
          <w:p>
            <w:r>
              <w:rPr>
                <w:b w:val="false"/>
                <w:bCs w:val="false"/>
                <w:sz w:val="18"/>
                <w:szCs w:val="18"/>
              </w:rPr>
              <w:t xml:space="preserve">A confidence threshold set from development data generalises reasonably to the hidden evaluation set</w:t>
            </w:r>
          </w:p>
        </w:tc>
        <w:tc>
          <w:tcPr>
            <w:tcW w:type="dxa" w:w="2419"/>
          </w:tcPr>
          <w:p>
            <w:r>
              <w:rPr>
                <w:b w:val="false"/>
                <w:bCs w:val="false"/>
                <w:sz w:val="18"/>
                <w:szCs w:val="18"/>
              </w:rPr>
              <w:t xml:space="preserve">The hidden set is drawn from the same population using the same schema</w:t>
            </w:r>
          </w:p>
        </w:tc>
        <w:tc>
          <w:tcPr>
            <w:tcW w:type="dxa" w:w="2621"/>
          </w:tcPr>
          <w:p>
            <w:r>
              <w:rPr>
                <w:b w:val="false"/>
                <w:bCs w:val="false"/>
                <w:sz w:val="18"/>
                <w:szCs w:val="18"/>
              </w:rPr>
              <w:t xml:space="preserve">Routing accuracy on the hidden set is materially worse than on validation, and cannot be re-tuned after submission</w:t>
            </w:r>
          </w:p>
        </w:tc>
        <w:tc>
          <w:tcPr>
            <w:tcW w:type="dxa" w:w="2419"/>
          </w:tcPr>
          <w:p>
            <w:r>
              <w:rPr>
                <w:b w:val="false"/>
                <w:bCs w:val="false"/>
                <w:sz w:val="18"/>
                <w:szCs w:val="18"/>
              </w:rPr>
              <w:t xml:space="preserve">Compare validation-set routing performance against the hidden-run metrics; report the gap honestly either way</w:t>
            </w:r>
          </w:p>
        </w:tc>
      </w:tr>
      <w:tr>
        <w:tc>
          <w:tcPr>
            <w:tcW w:type="dxa" w:w="2621"/>
          </w:tcPr>
          <w:p>
            <w:r>
              <w:rPr>
                <w:b w:val="false"/>
                <w:bCs w:val="false"/>
                <w:sz w:val="18"/>
                <w:szCs w:val="18"/>
              </w:rPr>
              <w:t xml:space="preserve">The 47.5% "doc-answerable-but-escalated" figure reflects a genuine confidence/findability gap the system can close</w:t>
            </w:r>
          </w:p>
        </w:tc>
        <w:tc>
          <w:tcPr>
            <w:tcW w:type="dxa" w:w="2419"/>
          </w:tcPr>
          <w:p>
            <w:r>
              <w:rPr>
                <w:b w:val="false"/>
                <w:bCs w:val="false"/>
                <w:sz w:val="18"/>
                <w:szCs w:val="18"/>
              </w:rPr>
              <w:t xml:space="preserve">The strongest, most directly evidenced pattern in Discovery, cross-checked across three sections</w:t>
            </w:r>
          </w:p>
        </w:tc>
        <w:tc>
          <w:tcPr>
            <w:tcW w:type="dxa" w:w="2621"/>
          </w:tcPr>
          <w:p>
            <w:r>
              <w:rPr>
                <w:b w:val="false"/>
                <w:bCs w:val="false"/>
                <w:sz w:val="18"/>
                <w:szCs w:val="18"/>
              </w:rPr>
              <w:t xml:space="preserve">If routing/retrieval improvements don't materially raise FCR, the real driver may be unmeasured (e.g. agent-level variation)</w:t>
            </w:r>
          </w:p>
        </w:tc>
        <w:tc>
          <w:tcPr>
            <w:tcW w:type="dxa" w:w="2419"/>
          </w:tcPr>
          <w:p>
            <w:r>
              <w:rPr>
                <w:b w:val="false"/>
                <w:bCs w:val="false"/>
                <w:sz w:val="18"/>
                <w:szCs w:val="18"/>
              </w:rPr>
              <w:t xml:space="preserve">Track FCR and escalation rate on the evaluation run against the 44.1%/55.9% baseline; revisit in Stage 5 if flat</w:t>
            </w:r>
          </w:p>
        </w:tc>
      </w:tr>
      <w:tr>
        <w:tc>
          <w:tcPr>
            <w:tcW w:type="dxa" w:w="2621"/>
          </w:tcPr>
          <w:p>
            <w:r>
              <w:rPr>
                <w:b w:val="false"/>
                <w:bCs w:val="false"/>
                <w:sz w:val="18"/>
                <w:szCs w:val="18"/>
              </w:rPr>
              <w:t xml:space="preserve">Enterprise tickets escalating more than other tiers (60.4%) is a real signal, not a sampling artefact</w:t>
            </w:r>
          </w:p>
        </w:tc>
        <w:tc>
          <w:tcPr>
            <w:tcW w:type="dxa" w:w="2419"/>
          </w:tcPr>
          <w:p>
            <w:r>
              <w:rPr>
                <w:b w:val="false"/>
                <w:bCs w:val="false"/>
                <w:sz w:val="18"/>
                <w:szCs w:val="18"/>
              </w:rPr>
              <w:t xml:space="preserve">Consistent across the enterprise CSAT-vs-escalation pattern and Marcus's compliance concern</w:t>
            </w:r>
          </w:p>
        </w:tc>
        <w:tc>
          <w:tcPr>
            <w:tcW w:type="dxa" w:w="2621"/>
          </w:tcPr>
          <w:p>
            <w:r>
              <w:rPr>
                <w:b w:val="false"/>
                <w:bCs w:val="false"/>
                <w:sz w:val="18"/>
                <w:szCs w:val="18"/>
              </w:rPr>
              <w:t xml:space="preserve">If the hidden set doesn't reproduce this, tier-specific design decisions may need revisiting (fairness reporting stays either way)</w:t>
            </w:r>
          </w:p>
        </w:tc>
        <w:tc>
          <w:tcPr>
            <w:tcW w:type="dxa" w:w="2419"/>
          </w:tcPr>
          <w:p>
            <w:r>
              <w:rPr>
                <w:b w:val="false"/>
                <w:bCs w:val="false"/>
                <w:sz w:val="18"/>
                <w:szCs w:val="18"/>
              </w:rPr>
              <w:t xml:space="preserve">Re-run the same tier-segmented analysis on the hidden set's results and compare</w:t>
            </w:r>
          </w:p>
        </w:tc>
      </w:tr>
      <w:tr>
        <w:tc>
          <w:tcPr>
            <w:tcW w:type="dxa" w:w="2621"/>
          </w:tcPr>
          <w:p>
            <w:r>
              <w:rPr>
                <w:b w:val="false"/>
                <w:bCs w:val="false"/>
                <w:sz w:val="18"/>
                <w:szCs w:val="18"/>
              </w:rPr>
              <w:t xml:space="preserve">Guardrail-blocked responses are rare enough that always-escalate-on-block is an acceptable fallback</w:t>
            </w:r>
          </w:p>
        </w:tc>
        <w:tc>
          <w:tcPr>
            <w:tcW w:type="dxa" w:w="2419"/>
          </w:tcPr>
          <w:p>
            <w:r>
              <w:rPr>
                <w:b w:val="false"/>
                <w:bCs w:val="false"/>
                <w:sz w:val="18"/>
                <w:szCs w:val="18"/>
              </w:rPr>
              <w:t xml:space="preserve">17.4% of the dataset (101/580) is must_not_auto_respond — a manageable share for human handling</w:t>
            </w:r>
          </w:p>
        </w:tc>
        <w:tc>
          <w:tcPr>
            <w:tcW w:type="dxa" w:w="2621"/>
          </w:tcPr>
          <w:p>
            <w:r>
              <w:rPr>
                <w:b w:val="false"/>
                <w:bCs w:val="false"/>
                <w:sz w:val="18"/>
                <w:szCs w:val="18"/>
              </w:rPr>
              <w:t xml:space="preserve">If the guardrail over-triggers on ordinary tickets, escalation volume balloons and defeats the system's purpose</w:t>
            </w:r>
          </w:p>
        </w:tc>
        <w:tc>
          <w:tcPr>
            <w:tcW w:type="dxa" w:w="2419"/>
          </w:tcPr>
          <w:p>
            <w:r>
              <w:rPr>
                <w:b w:val="false"/>
                <w:bCs w:val="false"/>
                <w:sz w:val="18"/>
                <w:szCs w:val="18"/>
              </w:rPr>
              <w:t xml:space="preserve">Track guardrail activation rate/type in the metrics report against the expected ~17% ceiling</w:t>
            </w:r>
          </w:p>
        </w:tc>
      </w:tr>
    </w:tbl>
    <w:p>
      <w:r>
        <w:br w:type="page"/>
      </w:r>
    </w:p>
    <w:p>
      <w:pPr>
        <w:pStyle w:val="Heading1"/>
        <w:spacing w:after="150" w:before="300"/>
      </w:pPr>
      <w:r>
        <w:t xml:space="preserve">8. Success measures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419"/>
        <w:gridCol w:w="3427"/>
        <w:gridCol w:w="2218"/>
      </w:tblGrid>
      <w:tr>
        <w:trPr>
          <w:tblHeader/>
        </w:trPr>
        <w:tc>
          <w:tcPr>
            <w:tcW w:type="dxa" w:w="2016"/>
            <w:shd w:fill="DCE6F1" w:val="clear"/>
          </w:tcPr>
          <w:p>
            <w:r>
              <w:rPr>
                <w:b/>
                <w:bCs/>
                <w:sz w:val="18"/>
                <w:szCs w:val="18"/>
              </w:rPr>
              <w:t xml:space="preserve">Measure</w:t>
            </w:r>
          </w:p>
        </w:tc>
        <w:tc>
          <w:tcPr>
            <w:tcW w:type="dxa" w:w="2419"/>
            <w:shd w:fill="DCE6F1" w:val="clear"/>
          </w:tcPr>
          <w:p>
            <w:r>
              <w:rPr>
                <w:b/>
                <w:bCs/>
                <w:sz w:val="18"/>
                <w:szCs w:val="18"/>
              </w:rPr>
              <w:t xml:space="preserve">Baseline</w:t>
            </w:r>
          </w:p>
        </w:tc>
        <w:tc>
          <w:tcPr>
            <w:tcW w:type="dxa" w:w="3427"/>
            <w:shd w:fill="DCE6F1" w:val="clear"/>
          </w:tcPr>
          <w:p>
            <w:r>
              <w:rPr>
                <w:b/>
                <w:bCs/>
                <w:sz w:val="18"/>
                <w:szCs w:val="18"/>
              </w:rPr>
              <w:t xml:space="preserve">Target</w:t>
            </w:r>
          </w:p>
        </w:tc>
        <w:tc>
          <w:tcPr>
            <w:tcW w:type="dxa" w:w="2218"/>
            <w:shd w:fill="DCE6F1" w:val="clear"/>
          </w:tcPr>
          <w:p>
            <w:r>
              <w:rPr>
                <w:b/>
                <w:bCs/>
                <w:sz w:val="18"/>
                <w:szCs w:val="18"/>
              </w:rPr>
              <w:t xml:space="preserve">Measured how</w:t>
            </w:r>
          </w:p>
        </w:tc>
      </w:tr>
      <w:tr>
        <w:tc>
          <w:tcPr>
            <w:tcW w:type="dxa" w:w="2016"/>
          </w:tcPr>
          <w:p>
            <w:r>
              <w:rPr>
                <w:b w:val="false"/>
                <w:bCs w:val="false"/>
                <w:sz w:val="18"/>
                <w:szCs w:val="18"/>
              </w:rPr>
              <w:t xml:space="preserve">First contact resolution</w:t>
            </w:r>
          </w:p>
        </w:tc>
        <w:tc>
          <w:tcPr>
            <w:tcW w:type="dxa" w:w="2419"/>
          </w:tcPr>
          <w:p>
            <w:r>
              <w:rPr>
                <w:b w:val="false"/>
                <w:bCs w:val="false"/>
                <w:sz w:val="18"/>
                <w:szCs w:val="18"/>
              </w:rPr>
              <w:t xml:space="preserve">44.1% (matches Marcus's own 42% estimate)</w:t>
            </w:r>
          </w:p>
        </w:tc>
        <w:tc>
          <w:tcPr>
            <w:tcW w:type="dxa" w:w="3427"/>
          </w:tcPr>
          <w:p>
            <w:r>
              <w:rPr>
                <w:b w:val="false"/>
                <w:bCs w:val="false"/>
                <w:sz w:val="18"/>
                <w:szCs w:val="18"/>
              </w:rPr>
              <w:t xml:space="preserve">Move materially toward the 65% industry benchmark; no specific number committed in v1 pending evaluation-run evidence</w:t>
            </w:r>
          </w:p>
        </w:tc>
        <w:tc>
          <w:tcPr>
            <w:tcW w:type="dxa" w:w="2218"/>
          </w:tcPr>
          <w:p>
            <w:r>
              <w:rPr>
                <w:b w:val="false"/>
                <w:bCs w:val="false"/>
                <w:sz w:val="18"/>
                <w:szCs w:val="18"/>
              </w:rPr>
              <w:t xml:space="preserve">metrics report's business.first_contact_resolution (A10)</w:t>
            </w:r>
          </w:p>
        </w:tc>
      </w:tr>
      <w:tr>
        <w:tc>
          <w:tcPr>
            <w:tcW w:type="dxa" w:w="2016"/>
          </w:tcPr>
          <w:p>
            <w:r>
              <w:rPr>
                <w:b w:val="false"/>
                <w:bCs w:val="false"/>
                <w:sz w:val="18"/>
                <w:szCs w:val="18"/>
              </w:rPr>
              <w:t xml:space="preserve">Time to first reply</w:t>
            </w:r>
          </w:p>
        </w:tc>
        <w:tc>
          <w:tcPr>
            <w:tcW w:type="dxa" w:w="2419"/>
          </w:tcPr>
          <w:p>
            <w:r>
              <w:rPr>
                <w:b w:val="false"/>
                <w:bCs w:val="false"/>
                <w:sz w:val="18"/>
                <w:szCs w:val="18"/>
              </w:rPr>
              <w:t xml:space="preserve">8 to 12 hours (client-stated)</w:t>
            </w:r>
          </w:p>
        </w:tc>
        <w:tc>
          <w:tcPr>
            <w:tcW w:type="dxa" w:w="3427"/>
          </w:tcPr>
          <w:p>
            <w:r>
              <w:rPr>
                <w:b w:val="false"/>
                <w:bCs w:val="false"/>
                <w:sz w:val="18"/>
                <w:szCs w:val="18"/>
              </w:rPr>
              <w:t xml:space="preserve">Materially reduced on the ~70% doc-answerable share, toward the 2-hour SLA</w:t>
            </w:r>
          </w:p>
        </w:tc>
        <w:tc>
          <w:tcPr>
            <w:tcW w:type="dxa" w:w="2218"/>
          </w:tcPr>
          <w:p>
            <w:r>
              <w:rPr>
                <w:b w:val="false"/>
                <w:bCs w:val="false"/>
                <w:sz w:val="18"/>
                <w:szCs w:val="18"/>
              </w:rPr>
              <w:t xml:space="preserve">metrics report's business.mean/median_response_time</w:t>
            </w:r>
          </w:p>
        </w:tc>
      </w:tr>
      <w:tr>
        <w:tc>
          <w:tcPr>
            <w:tcW w:type="dxa" w:w="2016"/>
          </w:tcPr>
          <w:p>
            <w:r>
              <w:rPr>
                <w:b w:val="false"/>
                <w:bCs w:val="false"/>
                <w:sz w:val="18"/>
                <w:szCs w:val="18"/>
              </w:rPr>
              <w:t xml:space="preserve">Customer satisfaction</w:t>
            </w:r>
          </w:p>
        </w:tc>
        <w:tc>
          <w:tcPr>
            <w:tcW w:type="dxa" w:w="2419"/>
          </w:tcPr>
          <w:p>
            <w:r>
              <w:rPr>
                <w:b w:val="false"/>
                <w:bCs w:val="false"/>
                <w:sz w:val="18"/>
                <w:szCs w:val="18"/>
              </w:rPr>
              <w:t xml:space="preserve">2.92 (measured; client reports 3.2 more broadly)</w:t>
            </w:r>
          </w:p>
        </w:tc>
        <w:tc>
          <w:tcPr>
            <w:tcW w:type="dxa" w:w="3427"/>
          </w:tcPr>
          <w:p>
            <w:r>
              <w:rPr>
                <w:b w:val="false"/>
                <w:bCs w:val="false"/>
                <w:sz w:val="18"/>
                <w:szCs w:val="18"/>
              </w:rPr>
              <w:t xml:space="preserve">No regression on automated responses; improvement is a stretch goal, not committed (see Open Question 1)</w:t>
            </w:r>
          </w:p>
        </w:tc>
        <w:tc>
          <w:tcPr>
            <w:tcW w:type="dxa" w:w="2218"/>
          </w:tcPr>
          <w:p>
            <w:r>
              <w:rPr>
                <w:b w:val="false"/>
                <w:bCs w:val="false"/>
                <w:sz w:val="18"/>
                <w:szCs w:val="18"/>
              </w:rPr>
              <w:t xml:space="preserve">Not directly computable from the provided schema — flagged as open question</w:t>
            </w:r>
          </w:p>
        </w:tc>
      </w:tr>
      <w:tr>
        <w:tc>
          <w:tcPr>
            <w:tcW w:type="dxa" w:w="2016"/>
          </w:tcPr>
          <w:p>
            <w:r>
              <w:rPr>
                <w:b w:val="false"/>
                <w:bCs w:val="false"/>
                <w:sz w:val="18"/>
                <w:szCs w:val="18"/>
              </w:rPr>
              <w:t xml:space="preserve">Escalation rate</w:t>
            </w:r>
          </w:p>
        </w:tc>
        <w:tc>
          <w:tcPr>
            <w:tcW w:type="dxa" w:w="2419"/>
          </w:tcPr>
          <w:p>
            <w:r>
              <w:rPr>
                <w:b w:val="false"/>
                <w:bCs w:val="false"/>
                <w:sz w:val="18"/>
                <w:szCs w:val="18"/>
              </w:rPr>
              <w:t xml:space="preserve">55.9% (measured)</w:t>
            </w:r>
          </w:p>
        </w:tc>
        <w:tc>
          <w:tcPr>
            <w:tcW w:type="dxa" w:w="3427"/>
          </w:tcPr>
          <w:p>
            <w:r>
              <w:rPr>
                <w:b w:val="false"/>
                <w:bCs w:val="false"/>
                <w:sz w:val="18"/>
                <w:szCs w:val="18"/>
              </w:rPr>
              <w:t xml:space="preserve">Materially reduced, driven by correctly auto-resolving the 47.5% doc-answerable-but-escalated subset, not by loosening the must_not_auto_respond boundary</w:t>
            </w:r>
          </w:p>
        </w:tc>
        <w:tc>
          <w:tcPr>
            <w:tcW w:type="dxa" w:w="2218"/>
          </w:tcPr>
          <w:p>
            <w:r>
              <w:rPr>
                <w:b w:val="false"/>
                <w:bCs w:val="false"/>
                <w:sz w:val="18"/>
                <w:szCs w:val="18"/>
              </w:rPr>
              <w:t xml:space="preserve">metrics report's volume.escalated / volume.tickets_processed</w:t>
            </w:r>
          </w:p>
        </w:tc>
      </w:tr>
    </w:tbl>
    <w:p>
      <w:r>
        <w:br w:type="page"/>
      </w:r>
    </w:p>
    <w:p>
      <w:pPr>
        <w:pStyle w:val="Heading1"/>
        <w:spacing w:after="150" w:before="300"/>
      </w:pPr>
      <w:r>
        <w:t xml:space="preserve">9. Open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1411"/>
        <w:gridCol w:w="2621"/>
      </w:tblGrid>
      <w:tr>
        <w:trPr>
          <w:tblHeader/>
        </w:trPr>
        <w:tc>
          <w:tcPr>
            <w:tcW w:type="dxa" w:w="3024"/>
            <w:shd w:fill="DCE6F1" w:val="clear"/>
          </w:tcPr>
          <w:p>
            <w:r>
              <w:rPr>
                <w:b/>
                <w:bCs/>
                <w:sz w:val="18"/>
                <w:szCs w:val="18"/>
              </w:rPr>
              <w:t xml:space="preserve">Question</w:t>
            </w:r>
          </w:p>
        </w:tc>
        <w:tc>
          <w:tcPr>
            <w:tcW w:type="dxa" w:w="3024"/>
            <w:shd w:fill="DCE6F1" w:val="clear"/>
          </w:tcPr>
          <w:p>
            <w:r>
              <w:rPr>
                <w:b/>
                <w:bCs/>
                <w:sz w:val="18"/>
                <w:szCs w:val="18"/>
              </w:rPr>
              <w:t xml:space="preserve">Why it matters</w:t>
            </w:r>
          </w:p>
        </w:tc>
        <w:tc>
          <w:tcPr>
            <w:tcW w:type="dxa" w:w="1411"/>
            <w:shd w:fill="DCE6F1" w:val="clear"/>
          </w:tcPr>
          <w:p>
            <w:r>
              <w:rPr>
                <w:b/>
                <w:bCs/>
                <w:sz w:val="18"/>
                <w:szCs w:val="18"/>
              </w:rPr>
              <w:t xml:space="preserve">Owner</w:t>
            </w:r>
          </w:p>
        </w:tc>
        <w:tc>
          <w:tcPr>
            <w:tcW w:type="dxa" w:w="2621"/>
            <w:shd w:fill="DCE6F1" w:val="clear"/>
          </w:tcPr>
          <w:p>
            <w:r>
              <w:rPr>
                <w:b/>
                <w:bCs/>
                <w:sz w:val="18"/>
                <w:szCs w:val="18"/>
              </w:rPr>
              <w:t xml:space="preserve">Resolve by</w:t>
            </w:r>
          </w:p>
        </w:tc>
      </w:tr>
      <w:tr>
        <w:tc>
          <w:tcPr>
            <w:tcW w:type="dxa" w:w="3024"/>
          </w:tcPr>
          <w:p>
            <w:r>
              <w:rPr>
                <w:b w:val="false"/>
                <w:bCs w:val="false"/>
                <w:sz w:val="18"/>
                <w:szCs w:val="18"/>
              </w:rPr>
              <w:t xml:space="preserve">Is CSAT for an automated response measurable at all, given no live customers exist to survey?</w:t>
            </w:r>
          </w:p>
        </w:tc>
        <w:tc>
          <w:tcPr>
            <w:tcW w:type="dxa" w:w="3024"/>
          </w:tcPr>
          <w:p>
            <w:r>
              <w:rPr>
                <w:b w:val="false"/>
                <w:bCs w:val="false"/>
                <w:sz w:val="18"/>
                <w:szCs w:val="18"/>
              </w:rPr>
              <w:t xml:space="preserve">Section 8's CSAT target is currently unverifiable without a proxy metric</w:t>
            </w:r>
          </w:p>
        </w:tc>
        <w:tc>
          <w:tcPr>
            <w:tcW w:type="dxa" w:w="1411"/>
          </w:tcPr>
          <w:p>
            <w:r>
              <w:rPr>
                <w:b w:val="false"/>
                <w:bCs w:val="false"/>
                <w:sz w:val="18"/>
                <w:szCs w:val="18"/>
              </w:rPr>
              <w:t xml:space="preserve">Rajarajan</w:t>
            </w:r>
          </w:p>
        </w:tc>
        <w:tc>
          <w:tcPr>
            <w:tcW w:type="dxa" w:w="2621"/>
          </w:tcPr>
          <w:p>
            <w:r>
              <w:rPr>
                <w:b w:val="false"/>
                <w:bCs w:val="false"/>
                <w:sz w:val="18"/>
                <w:szCs w:val="18"/>
              </w:rPr>
              <w:t xml:space="preserve">End of week two, before the evaluation run — decide on a proxy or mark CSAT unmeasured</w:t>
            </w:r>
          </w:p>
        </w:tc>
      </w:tr>
      <w:tr>
        <w:tc>
          <w:tcPr>
            <w:tcW w:type="dxa" w:w="3024"/>
          </w:tcPr>
          <w:p>
            <w:r>
              <w:rPr>
                <w:b w:val="false"/>
                <w:bCs w:val="false"/>
                <w:sz w:val="18"/>
                <w:szCs w:val="18"/>
              </w:rPr>
              <w:t xml:space="preserve">What confidence threshold value actually balances FCR gains against wrong-auto-response risk — one global threshold, or per intent class?</w:t>
            </w:r>
          </w:p>
        </w:tc>
        <w:tc>
          <w:tcPr>
            <w:tcW w:type="dxa" w:w="3024"/>
          </w:tcPr>
          <w:p>
            <w:r>
              <w:rPr>
                <w:b w:val="false"/>
                <w:bCs w:val="false"/>
                <w:sz w:val="18"/>
                <w:szCs w:val="18"/>
              </w:rPr>
              <w:t xml:space="preserve">FR-04 depends on this directly; the wrong threshold either wastes FCR gains or increases Marcus's named failure risk</w:t>
            </w:r>
          </w:p>
        </w:tc>
        <w:tc>
          <w:tcPr>
            <w:tcW w:type="dxa" w:w="1411"/>
          </w:tcPr>
          <w:p>
            <w:r>
              <w:rPr>
                <w:b w:val="false"/>
                <w:bCs w:val="false"/>
                <w:sz w:val="18"/>
                <w:szCs w:val="18"/>
              </w:rPr>
              <w:t xml:space="preserve">Rajarajan</w:t>
            </w:r>
          </w:p>
        </w:tc>
        <w:tc>
          <w:tcPr>
            <w:tcW w:type="dxa" w:w="2621"/>
          </w:tcPr>
          <w:p>
            <w:r>
              <w:rPr>
                <w:b w:val="false"/>
                <w:bCs w:val="false"/>
                <w:sz w:val="18"/>
                <w:szCs w:val="18"/>
              </w:rPr>
              <w:t xml:space="preserve">During Stage 3/4 build, before the Day 3 checkpoint (classification + routing)</w:t>
            </w:r>
          </w:p>
        </w:tc>
      </w:tr>
      <w:tr>
        <w:tc>
          <w:tcPr>
            <w:tcW w:type="dxa" w:w="3024"/>
          </w:tcPr>
          <w:p>
            <w:r>
              <w:rPr>
                <w:b w:val="false"/>
                <w:bCs w:val="false"/>
                <w:sz w:val="18"/>
                <w:szCs w:val="18"/>
              </w:rPr>
              <w:t xml:space="preserve">Does chunking strategy materially change retrieval hit rate, given articles risk being split mid-resolution-sequence?</w:t>
            </w:r>
          </w:p>
        </w:tc>
        <w:tc>
          <w:tcPr>
            <w:tcW w:type="dxa" w:w="3024"/>
          </w:tcPr>
          <w:p>
            <w:r>
              <w:rPr>
                <w:b w:val="false"/>
                <w:bCs w:val="false"/>
                <w:sz w:val="18"/>
                <w:szCs w:val="18"/>
              </w:rPr>
              <w:t xml:space="preserve">Setup Guide flags this as a decision to test, not assume; directly affects FR-03 and A4</w:t>
            </w:r>
          </w:p>
        </w:tc>
        <w:tc>
          <w:tcPr>
            <w:tcW w:type="dxa" w:w="1411"/>
          </w:tcPr>
          <w:p>
            <w:r>
              <w:rPr>
                <w:b w:val="false"/>
                <w:bCs w:val="false"/>
                <w:sz w:val="18"/>
                <w:szCs w:val="18"/>
              </w:rPr>
              <w:t xml:space="preserve">Rajarajan</w:t>
            </w:r>
          </w:p>
        </w:tc>
        <w:tc>
          <w:tcPr>
            <w:tcW w:type="dxa" w:w="2621"/>
          </w:tcPr>
          <w:p>
            <w:r>
              <w:rPr>
                <w:b w:val="false"/>
                <w:bCs w:val="false"/>
                <w:sz w:val="18"/>
                <w:szCs w:val="18"/>
              </w:rPr>
              <w:t xml:space="preserve">Day 2 checkpoint (retrieval), per Build Specification</w:t>
            </w:r>
          </w:p>
        </w:tc>
      </w:tr>
      <w:tr>
        <w:tc>
          <w:tcPr>
            <w:tcW w:type="dxa" w:w="3024"/>
          </w:tcPr>
          <w:p>
            <w:r>
              <w:rPr>
                <w:b w:val="false"/>
                <w:bCs w:val="false"/>
                <w:sz w:val="18"/>
                <w:szCs w:val="18"/>
              </w:rPr>
              <w:t xml:space="preserve">Should the enterprise-tier escalation finding change the routing threshold for enterprise tickets, or only change fairness-audit reporting?</w:t>
            </w:r>
          </w:p>
        </w:tc>
        <w:tc>
          <w:tcPr>
            <w:tcW w:type="dxa" w:w="3024"/>
          </w:tcPr>
          <w:p>
            <w:r>
              <w:rPr>
                <w:b w:val="false"/>
                <w:bCs w:val="false"/>
                <w:sz w:val="18"/>
                <w:szCs w:val="18"/>
              </w:rPr>
              <w:t xml:space="preserve">Touches both FR-04 (routing) and NFR-06 (fairness) — a bigger design decision than a reporting-only change</w:t>
            </w:r>
          </w:p>
        </w:tc>
        <w:tc>
          <w:tcPr>
            <w:tcW w:type="dxa" w:w="1411"/>
          </w:tcPr>
          <w:p>
            <w:r>
              <w:rPr>
                <w:b w:val="false"/>
                <w:bCs w:val="false"/>
                <w:sz w:val="18"/>
                <w:szCs w:val="18"/>
              </w:rPr>
              <w:t xml:space="preserve">Rajarajan</w:t>
            </w:r>
          </w:p>
        </w:tc>
        <w:tc>
          <w:tcPr>
            <w:tcW w:type="dxa" w:w="2621"/>
          </w:tcPr>
          <w:p>
            <w:r>
              <w:rPr>
                <w:b w:val="false"/>
                <w:bCs w:val="false"/>
                <w:sz w:val="18"/>
                <w:szCs w:val="18"/>
              </w:rPr>
              <w:t xml:space="preserve">Before Stage 5 PRD revision, once evaluation-run evidence exists</w:t>
            </w:r>
          </w:p>
        </w:tc>
      </w:tr>
      <w:tr>
        <w:tc>
          <w:tcPr>
            <w:tcW w:type="dxa" w:w="3024"/>
          </w:tcPr>
          <w:p>
            <w:r>
              <w:rPr>
                <w:b w:val="false"/>
                <w:bCs w:val="false"/>
                <w:sz w:val="18"/>
                <w:szCs w:val="18"/>
              </w:rPr>
              <w:t xml:space="preserve">What is the actual delivery mechanism for the escalation summary (FR-10) — logged only, or does it need a UI?</w:t>
            </w:r>
          </w:p>
        </w:tc>
        <w:tc>
          <w:tcPr>
            <w:tcW w:type="dxa" w:w="3024"/>
          </w:tcPr>
          <w:p>
            <w:r>
              <w:rPr>
                <w:b w:val="false"/>
                <w:bCs w:val="false"/>
                <w:sz w:val="18"/>
                <w:szCs w:val="18"/>
              </w:rPr>
              <w:t xml:space="preserve">Build Specification doesn't mandate a UI, but Daniel's stated need implies the summary must be genuinely usable</w:t>
            </w:r>
          </w:p>
        </w:tc>
        <w:tc>
          <w:tcPr>
            <w:tcW w:type="dxa" w:w="1411"/>
          </w:tcPr>
          <w:p>
            <w:r>
              <w:rPr>
                <w:b w:val="false"/>
                <w:bCs w:val="false"/>
                <w:sz w:val="18"/>
                <w:szCs w:val="18"/>
              </w:rPr>
              <w:t xml:space="preserve">Rajarajan</w:t>
            </w:r>
          </w:p>
        </w:tc>
        <w:tc>
          <w:tcPr>
            <w:tcW w:type="dxa" w:w="2621"/>
          </w:tcPr>
          <w:p>
            <w:r>
              <w:rPr>
                <w:b w:val="false"/>
                <w:bCs w:val="false"/>
                <w:sz w:val="18"/>
                <w:szCs w:val="18"/>
              </w:rPr>
              <w:t xml:space="preserve">During Stage 4 sprint planning — decide scope now rather than discovering it late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2026-09-08T04:08:47.844Z</dcterms:created>
  <dcterms:modified xsi:type="dcterms:W3CDTF">2026-09-08T04:08:47.844Z</dcterms:modified>
</cp:coreProperties>
</file>

<file path=docProps/custom.xml><?xml version="1.0" encoding="utf-8"?>
<Properties xmlns="http://schemas.openxmlformats.org/officeDocument/2006/custom-properties" xmlns:vt="http://schemas.openxmlformats.org/officeDocument/2006/docPropsVTypes"/>
</file>