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2"/>
        </w:rPr>
        <w:t>GOVERNMENT OF INDIA • MINISTRY OF CONSUMER AFFAIRS, FOOD &amp; PUBLIC DISTRIBUTION</w:t>
        <w:br/>
      </w:r>
      <w:r>
        <w:rPr>
          <w:color w:val="475569"/>
          <w:sz w:val="20"/>
        </w:rPr>
        <w:t>DEPARTMENT OF LEGAL METROLOGY — INSPECTION &amp; ENFORCEMENT DIVISION</w:t>
        <w:br/>
      </w:r>
      <w:r>
        <w:rPr>
          <w:b/>
          <w:color w:val="1E3A8A"/>
          <w:sz w:val="28"/>
        </w:rPr>
        <w:t>Packaged Commodity Compliance Inspection Report</w:t>
        <w:br/>
      </w:r>
      <w:r>
        <w:rPr>
          <w:i/>
          <w:color w:val="64748B"/>
          <w:sz w:val="17"/>
        </w:rPr>
        <w:t>Issued under Section 18 &amp; 52 of Legal Metrology Act, 2009 read with Legal Metrology (Packaged Commodities) Rules, 2011</w:t>
      </w:r>
    </w:p>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795"/>
            <w:shd w:fill="F8FAFC"/>
            <w:tcMar>
              <w:top w:w="90" w:type="dxa"/>
              <w:bottom w:w="90" w:type="dxa"/>
              <w:left w:w="120" w:type="dxa"/>
              <w:right w:w="120" w:type="dxa"/>
            </w:tcMar>
          </w:tcPr>
          <w:p>
            <w:r>
              <w:rPr>
                <w:color w:val="334155"/>
                <w:sz w:val="18"/>
              </w:rPr>
              <w:t>Inspection ID: ce8f060e-edb0-4b34-8d3f-fd6bf2778925</w:t>
            </w:r>
          </w:p>
        </w:tc>
        <w:tc>
          <w:tcPr>
            <w:tcW w:type="dxa" w:w="4810"/>
            <w:shd w:fill="F8FAFC"/>
            <w:tcMar>
              <w:top w:w="90" w:type="dxa"/>
              <w:bottom w:w="90" w:type="dxa"/>
              <w:left w:w="120" w:type="dxa"/>
              <w:right w:w="120" w:type="dxa"/>
            </w:tcMar>
          </w:tcPr>
          <w:p>
            <w:r>
              <w:rPr>
                <w:color w:val="334155"/>
                <w:sz w:val="18"/>
              </w:rPr>
              <w:t>Date &amp; Time: 20-Sep-2026 12:55 UTC</w:t>
            </w:r>
          </w:p>
        </w:tc>
      </w:tr>
      <w:tr>
        <w:trPr>
          <w:cantSplit/>
        </w:trPr>
        <w:tc>
          <w:tcPr>
            <w:tcW w:type="dxa" w:w="4795"/>
            <w:tcMar>
              <w:top w:w="90" w:type="dxa"/>
              <w:bottom w:w="90" w:type="dxa"/>
              <w:left w:w="120" w:type="dxa"/>
              <w:right w:w="120" w:type="dxa"/>
            </w:tcMar>
          </w:tcPr>
          <w:p>
            <w:r>
              <w:rPr>
                <w:color w:val="334155"/>
                <w:sz w:val="18"/>
              </w:rPr>
              <w:t>Product / Brand: Sandalwood incense</w:t>
            </w:r>
          </w:p>
        </w:tc>
        <w:tc>
          <w:tcPr>
            <w:tcW w:type="dxa" w:w="4810"/>
            <w:tcMar>
              <w:top w:w="90" w:type="dxa"/>
              <w:bottom w:w="90" w:type="dxa"/>
              <w:left w:w="120" w:type="dxa"/>
              <w:right w:w="120" w:type="dxa"/>
            </w:tcMar>
          </w:tcPr>
          <w:p>
            <w:r>
              <w:rPr>
                <w:color w:val="334155"/>
                <w:sz w:val="18"/>
              </w:rPr>
              <w:t>Category: Household Chemicals</w:t>
            </w:r>
          </w:p>
        </w:tc>
      </w:tr>
      <w:tr>
        <w:trPr>
          <w:cantSplit/>
        </w:trPr>
        <w:tc>
          <w:tcPr>
            <w:tcW w:type="dxa" w:w="4795"/>
            <w:tcMar>
              <w:top w:w="90" w:type="dxa"/>
              <w:bottom w:w="90" w:type="dxa"/>
              <w:left w:w="120" w:type="dxa"/>
              <w:right w:w="120" w:type="dxa"/>
            </w:tcMar>
          </w:tcPr>
          <w:p>
            <w:r>
              <w:rPr>
                <w:color w:val="334155"/>
                <w:sz w:val="18"/>
              </w:rPr>
              <w:t>Inspecting Officer: Sejal Sharma</w:t>
            </w:r>
          </w:p>
        </w:tc>
        <w:tc>
          <w:tcPr>
            <w:tcW w:type="dxa" w:w="4810"/>
            <w:tcMar>
              <w:top w:w="90" w:type="dxa"/>
              <w:bottom w:w="90" w:type="dxa"/>
              <w:left w:w="120" w:type="dxa"/>
              <w:right w:w="120" w:type="dxa"/>
            </w:tcMar>
          </w:tcPr>
          <w:p>
            <w:r>
              <w:rPr>
                <w:color w:val="334155"/>
                <w:sz w:val="18"/>
              </w:rPr>
              <w:t>Panels Inspected: 2 Panel(s) | Scale: 85.0 mm</w:t>
            </w:r>
          </w:p>
        </w:tc>
      </w:tr>
    </w:tbl>
    <w:p/>
    <w:p>
      <w:pPr>
        <w:jc w:val="center"/>
      </w:pPr>
      <w:r>
        <w:rPr>
          <w:b/>
          <w:color w:val="15803D"/>
          <w:sz w:val="24"/>
        </w:rPr>
        <w:t>OVERALL VERDICT: COMPLIANT  |  COMPLIANCE SCORE: 90.9%</w:t>
        <w:br/>
      </w:r>
    </w:p>
    <w:p>
      <w:pPr>
        <w:pStyle w:val="Heading2"/>
      </w:pPr>
      <w:r>
        <w:t>1. Rule-by-Rule Compliance Checklist (Rules 2011)</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880"/>
            <w:shd w:fill="F1F5F9"/>
            <w:tcMar>
              <w:top w:w="90" w:type="dxa"/>
              <w:bottom w:w="90" w:type="dxa"/>
              <w:left w:w="120" w:type="dxa"/>
              <w:right w:w="120" w:type="dxa"/>
            </w:tcMar>
          </w:tcPr>
          <w:p>
            <w:r>
              <w:rPr>
                <w:b/>
                <w:color w:val="0F172A"/>
                <w:sz w:val="18"/>
              </w:rPr>
              <w:t>Rule &amp; Legal Citation</w:t>
            </w:r>
          </w:p>
        </w:tc>
        <w:tc>
          <w:tcPr>
            <w:tcW w:type="dxa" w:w="1224"/>
            <w:shd w:fill="F1F5F9"/>
            <w:tcMar>
              <w:top w:w="90" w:type="dxa"/>
              <w:bottom w:w="90" w:type="dxa"/>
              <w:left w:w="120" w:type="dxa"/>
              <w:right w:w="120" w:type="dxa"/>
            </w:tcMar>
          </w:tcPr>
          <w:p>
            <w:r>
              <w:rPr>
                <w:b/>
                <w:color w:val="0F172A"/>
                <w:sz w:val="18"/>
              </w:rPr>
              <w:t>Verdict</w:t>
            </w:r>
          </w:p>
        </w:tc>
        <w:tc>
          <w:tcPr>
            <w:tcW w:type="dxa" w:w="2592"/>
            <w:shd w:fill="F1F5F9"/>
            <w:tcMar>
              <w:top w:w="90" w:type="dxa"/>
              <w:bottom w:w="90" w:type="dxa"/>
              <w:left w:w="120" w:type="dxa"/>
              <w:right w:w="120" w:type="dxa"/>
            </w:tcMar>
          </w:tcPr>
          <w:p>
            <w:r>
              <w:rPr>
                <w:b/>
                <w:color w:val="0F172A"/>
                <w:sz w:val="18"/>
              </w:rPr>
              <w:t>Declared Text Found</w:t>
            </w:r>
          </w:p>
        </w:tc>
        <w:tc>
          <w:tcPr>
            <w:tcW w:type="dxa" w:w="2909"/>
            <w:shd w:fill="F1F5F9"/>
            <w:tcMar>
              <w:top w:w="90" w:type="dxa"/>
              <w:bottom w:w="90" w:type="dxa"/>
              <w:left w:w="120" w:type="dxa"/>
              <w:right w:w="120" w:type="dxa"/>
            </w:tcMar>
          </w:tcPr>
          <w:p>
            <w:r>
              <w:rPr>
                <w:b/>
                <w:color w:val="0F172A"/>
                <w:sz w:val="18"/>
              </w:rPr>
              <w:t>Inspector Findings</w:t>
            </w:r>
          </w:p>
        </w:tc>
      </w:tr>
      <w:tr>
        <w:trPr>
          <w:cantSplit/>
        </w:trPr>
        <w:tc>
          <w:tcPr>
            <w:tcW w:type="dxa" w:w="2880"/>
            <w:tcMar>
              <w:top w:w="90" w:type="dxa"/>
              <w:bottom w:w="90" w:type="dxa"/>
              <w:left w:w="120" w:type="dxa"/>
              <w:right w:w="120" w:type="dxa"/>
            </w:tcMar>
          </w:tcPr>
          <w:p>
            <w:r>
              <w:rPr>
                <w:sz w:val="17"/>
              </w:rPr>
              <w:t>Name &amp; Complete Address of Manufacturer / Packer</w:t>
              <w:br/>
              <w:t>(Rule 6(1)(a))</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N. Ranga Rao &amp; Sons Private Limited - No.1553, Vanivilasa Road, Mysuru - 570 004, Karnataka, India</w:t>
            </w:r>
          </w:p>
        </w:tc>
        <w:tc>
          <w:tcPr>
            <w:tcW w:type="dxa" w:w="2909"/>
            <w:tcMar>
              <w:top w:w="90" w:type="dxa"/>
              <w:bottom w:w="90" w:type="dxa"/>
              <w:left w:w="120" w:type="dxa"/>
              <w:right w:w="120" w:type="dxa"/>
            </w:tcMar>
          </w:tcPr>
          <w:p>
            <w:r>
              <w:rPr>
                <w:sz w:val="17"/>
              </w:rPr>
              <w:t>Manufacturer address is complete and compliant.</w:t>
            </w:r>
          </w:p>
        </w:tc>
      </w:tr>
      <w:tr>
        <w:trPr>
          <w:cantSplit/>
        </w:trPr>
        <w:tc>
          <w:tcPr>
            <w:tcW w:type="dxa" w:w="2880"/>
            <w:tcMar>
              <w:top w:w="90" w:type="dxa"/>
              <w:bottom w:w="90" w:type="dxa"/>
              <w:left w:w="120" w:type="dxa"/>
              <w:right w:w="120" w:type="dxa"/>
            </w:tcMar>
          </w:tcPr>
          <w:p>
            <w:r>
              <w:rPr>
                <w:sz w:val="17"/>
              </w:rPr>
              <w:t>Generic or Common Name of Commodity</w:t>
              <w:br/>
              <w:t>(Rule 6(1)(b))</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Sandalwood incense</w:t>
            </w:r>
          </w:p>
        </w:tc>
        <w:tc>
          <w:tcPr>
            <w:tcW w:type="dxa" w:w="2909"/>
            <w:tcMar>
              <w:top w:w="90" w:type="dxa"/>
              <w:bottom w:w="90" w:type="dxa"/>
              <w:left w:w="120" w:type="dxa"/>
              <w:right w:w="120" w:type="dxa"/>
            </w:tcMar>
          </w:tcPr>
          <w:p>
            <w:r>
              <w:rPr>
                <w:sz w:val="17"/>
              </w:rPr>
              <w:t>Generic name clearly declared.</w:t>
            </w:r>
          </w:p>
        </w:tc>
      </w:tr>
      <w:tr>
        <w:trPr>
          <w:cantSplit/>
        </w:trPr>
        <w:tc>
          <w:tcPr>
            <w:tcW w:type="dxa" w:w="2880"/>
            <w:tcMar>
              <w:top w:w="90" w:type="dxa"/>
              <w:bottom w:w="90" w:type="dxa"/>
              <w:left w:w="120" w:type="dxa"/>
              <w:right w:w="120" w:type="dxa"/>
            </w:tcMar>
          </w:tcPr>
          <w:p>
            <w:r>
              <w:rPr>
                <w:sz w:val="17"/>
              </w:rPr>
              <w:t>Net Quantity &amp; Standard SI Units Audit</w:t>
              <w:br/>
              <w:t>(Rule 6(1)(c) &amp; Rule 13)</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125 g</w:t>
            </w:r>
          </w:p>
        </w:tc>
        <w:tc>
          <w:tcPr>
            <w:tcW w:type="dxa" w:w="2909"/>
            <w:tcMar>
              <w:top w:w="90" w:type="dxa"/>
              <w:bottom w:w="90" w:type="dxa"/>
              <w:left w:w="120" w:type="dxa"/>
              <w:right w:w="120" w:type="dxa"/>
            </w:tcMar>
          </w:tcPr>
          <w:p>
            <w:r>
              <w:rPr>
                <w:sz w:val="17"/>
              </w:rPr>
              <w:t>Net quantity declared in standard SI unit.</w:t>
            </w:r>
          </w:p>
        </w:tc>
      </w:tr>
      <w:tr>
        <w:trPr>
          <w:cantSplit/>
        </w:trPr>
        <w:tc>
          <w:tcPr>
            <w:tcW w:type="dxa" w:w="2880"/>
            <w:tcMar>
              <w:top w:w="90" w:type="dxa"/>
              <w:bottom w:w="90" w:type="dxa"/>
              <w:left w:w="120" w:type="dxa"/>
              <w:right w:w="120" w:type="dxa"/>
            </w:tcMar>
          </w:tcPr>
          <w:p>
            <w:r>
              <w:rPr>
                <w:sz w:val="17"/>
              </w:rPr>
              <w:t>Month &amp; Year of Manufacture / Packing / Import</w:t>
              <w:br/>
              <w:t>(Rule 6(1)(d))</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BE 87 41</w:t>
            </w:r>
          </w:p>
        </w:tc>
        <w:tc>
          <w:tcPr>
            <w:tcW w:type="dxa" w:w="2909"/>
            <w:tcMar>
              <w:top w:w="90" w:type="dxa"/>
              <w:bottom w:w="90" w:type="dxa"/>
              <w:left w:w="120" w:type="dxa"/>
              <w:right w:w="120" w:type="dxa"/>
            </w:tcMar>
          </w:tcPr>
          <w:p>
            <w:r>
              <w:rPr>
                <w:sz w:val="17"/>
              </w:rPr>
              <w:t>Batch number present, but manufacturing date is not explicitly visible on the panel.</w:t>
            </w:r>
          </w:p>
        </w:tc>
      </w:tr>
      <w:tr>
        <w:trPr>
          <w:cantSplit/>
        </w:trPr>
        <w:tc>
          <w:tcPr>
            <w:tcW w:type="dxa" w:w="2880"/>
            <w:tcMar>
              <w:top w:w="90" w:type="dxa"/>
              <w:bottom w:w="90" w:type="dxa"/>
              <w:left w:w="120" w:type="dxa"/>
              <w:right w:w="120" w:type="dxa"/>
            </w:tcMar>
          </w:tcPr>
          <w:p>
            <w:r>
              <w:rPr>
                <w:sz w:val="17"/>
              </w:rPr>
              <w:t>Maximum Retail Price (Inclusive of all taxes)</w:t>
              <w:br/>
              <w:t>(Rule 6(1)(e))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 75.00</w:t>
            </w:r>
          </w:p>
        </w:tc>
        <w:tc>
          <w:tcPr>
            <w:tcW w:type="dxa" w:w="2909"/>
            <w:tcMar>
              <w:top w:w="90" w:type="dxa"/>
              <w:bottom w:w="90" w:type="dxa"/>
              <w:left w:w="120" w:type="dxa"/>
              <w:right w:w="120" w:type="dxa"/>
            </w:tcMar>
          </w:tcPr>
          <w:p>
            <w:r>
              <w:rPr>
                <w:sz w:val="17"/>
              </w:rPr>
              <w:t>MRP declared inclusive of all taxes.</w:t>
            </w:r>
          </w:p>
        </w:tc>
      </w:tr>
      <w:tr>
        <w:trPr>
          <w:cantSplit/>
        </w:trPr>
        <w:tc>
          <w:tcPr>
            <w:tcW w:type="dxa" w:w="2880"/>
            <w:tcMar>
              <w:top w:w="90" w:type="dxa"/>
              <w:bottom w:w="90" w:type="dxa"/>
              <w:left w:w="120" w:type="dxa"/>
              <w:right w:w="120" w:type="dxa"/>
            </w:tcMar>
          </w:tcPr>
          <w:p>
            <w:r>
              <w:rPr>
                <w:sz w:val="17"/>
              </w:rPr>
              <w:t>Unit Sale Price (USP) Mathematical Cross-Verification</w:t>
              <w:br/>
              <w:t>(Rule 6(1)(e) Second Proviso)</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 0.60 per g</w:t>
            </w:r>
          </w:p>
        </w:tc>
        <w:tc>
          <w:tcPr>
            <w:tcW w:type="dxa" w:w="2909"/>
            <w:tcMar>
              <w:top w:w="90" w:type="dxa"/>
              <w:bottom w:w="90" w:type="dxa"/>
              <w:left w:w="120" w:type="dxa"/>
              <w:right w:w="120" w:type="dxa"/>
            </w:tcMar>
          </w:tcPr>
          <w:p>
            <w:r>
              <w:rPr>
                <w:sz w:val="17"/>
              </w:rPr>
              <w:t>Unit Sale Price verified: Declared '₹ 0.60 per g' matches calculated Rs per g (Rs. 0.60).</w:t>
            </w:r>
          </w:p>
        </w:tc>
      </w:tr>
      <w:tr>
        <w:trPr>
          <w:cantSplit/>
        </w:trPr>
        <w:tc>
          <w:tcPr>
            <w:tcW w:type="dxa" w:w="2880"/>
            <w:tcMar>
              <w:top w:w="90" w:type="dxa"/>
              <w:bottom w:w="90" w:type="dxa"/>
              <w:left w:w="120" w:type="dxa"/>
              <w:right w:w="120" w:type="dxa"/>
            </w:tcMar>
          </w:tcPr>
          <w:p>
            <w:r>
              <w:rPr>
                <w:sz w:val="17"/>
              </w:rPr>
              <w:t>Consumer Care Helpline, Email &amp; Physical Address</w:t>
              <w:br/>
              <w:t>(Rule 6(1)(f))</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Quality Manager, N. Ranga Rao &amp; Sons Private Limited. No.1553, Vanivilasa Road, Mysuru - 570 004, Karnataka, India. +91 (821) 252 1985, quality@nrrs.net</w:t>
            </w:r>
          </w:p>
        </w:tc>
        <w:tc>
          <w:tcPr>
            <w:tcW w:type="dxa" w:w="2909"/>
            <w:tcMar>
              <w:top w:w="90" w:type="dxa"/>
              <w:bottom w:w="90" w:type="dxa"/>
              <w:left w:w="120" w:type="dxa"/>
              <w:right w:w="120" w:type="dxa"/>
            </w:tcMar>
          </w:tcPr>
          <w:p>
            <w:r>
              <w:rPr>
                <w:sz w:val="17"/>
              </w:rPr>
              <w:t>Consumer care details are complete.</w:t>
            </w:r>
          </w:p>
        </w:tc>
      </w:tr>
      <w:tr>
        <w:trPr>
          <w:cantSplit/>
        </w:trPr>
        <w:tc>
          <w:tcPr>
            <w:tcW w:type="dxa" w:w="2880"/>
            <w:tcMar>
              <w:top w:w="90" w:type="dxa"/>
              <w:bottom w:w="90" w:type="dxa"/>
              <w:left w:w="120" w:type="dxa"/>
              <w:right w:w="120" w:type="dxa"/>
            </w:tcMar>
          </w:tcPr>
          <w:p>
            <w:r>
              <w:rPr>
                <w:sz w:val="17"/>
              </w:rPr>
              <w:t>Country of Origin for Domestic or Imported Goods</w:t>
              <w:br/>
              <w:t>(Rule 6(1)(g))</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India</w:t>
            </w:r>
          </w:p>
        </w:tc>
        <w:tc>
          <w:tcPr>
            <w:tcW w:type="dxa" w:w="2909"/>
            <w:tcMar>
              <w:top w:w="90" w:type="dxa"/>
              <w:bottom w:w="90" w:type="dxa"/>
              <w:left w:w="120" w:type="dxa"/>
              <w:right w:w="120" w:type="dxa"/>
            </w:tcMar>
          </w:tcPr>
          <w:p>
            <w:r>
              <w:rPr>
                <w:sz w:val="17"/>
              </w:rPr>
              <w:t>Country of origin declared.</w:t>
            </w:r>
          </w:p>
        </w:tc>
      </w:tr>
      <w:tr>
        <w:trPr>
          <w:cantSplit/>
        </w:trPr>
        <w:tc>
          <w:tcPr>
            <w:tcW w:type="dxa" w:w="2880"/>
            <w:tcMar>
              <w:top w:w="90" w:type="dxa"/>
              <w:bottom w:w="90" w:type="dxa"/>
              <w:left w:w="120" w:type="dxa"/>
              <w:right w:w="120" w:type="dxa"/>
            </w:tcMar>
          </w:tcPr>
          <w:p>
            <w:r>
              <w:rPr>
                <w:sz w:val="17"/>
              </w:rPr>
              <w:t>Second Schedule Prescribed Pack Sizes (Anti-Shrinkflation)</w:t>
              <w:br/>
              <w:t>(Rule 5 &amp; Second Schedule)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125 g (Category: None)</w:t>
            </w:r>
          </w:p>
        </w:tc>
        <w:tc>
          <w:tcPr>
            <w:tcW w:type="dxa" w:w="2909"/>
            <w:tcMar>
              <w:top w:w="90" w:type="dxa"/>
              <w:bottom w:w="90" w:type="dxa"/>
              <w:left w:w="120" w:type="dxa"/>
              <w:right w:w="120" w:type="dxa"/>
            </w:tcMar>
          </w:tcPr>
          <w:p>
            <w:r>
              <w:rPr>
                <w:sz w:val="17"/>
              </w:rPr>
              <w:t>Commodity is not listed under the Second Schedule. Pack size is at manufacturer's discretion.</w:t>
            </w:r>
          </w:p>
        </w:tc>
      </w:tr>
      <w:tr>
        <w:trPr>
          <w:cantSplit/>
        </w:trPr>
        <w:tc>
          <w:tcPr>
            <w:tcW w:type="dxa" w:w="2880"/>
            <w:tcMar>
              <w:top w:w="90" w:type="dxa"/>
              <w:bottom w:w="90" w:type="dxa"/>
              <w:left w:w="120" w:type="dxa"/>
              <w:right w:w="120" w:type="dxa"/>
            </w:tcMar>
          </w:tcPr>
          <w:p>
            <w:r>
              <w:rPr>
                <w:sz w:val="17"/>
              </w:rPr>
              <w:t>Statutory Minimum Numeral Height Table-I</w:t>
              <w:br/>
              <w:t>(Rule 7(2) read with Table-I)</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2.12 mm (Min: 1.0 mm)</w:t>
            </w:r>
          </w:p>
        </w:tc>
        <w:tc>
          <w:tcPr>
            <w:tcW w:type="dxa" w:w="2909"/>
            <w:tcMar>
              <w:top w:w="90" w:type="dxa"/>
              <w:bottom w:w="90" w:type="dxa"/>
              <w:left w:w="120" w:type="dxa"/>
              <w:right w:w="120" w:type="dxa"/>
            </w:tcMar>
          </w:tcPr>
          <w:p>
            <w:r>
              <w:rPr>
                <w:sz w:val="17"/>
              </w:rPr>
              <w:t>Measured height (2.12mm) meets statutory minimum of 1.0mm.</w:t>
            </w:r>
          </w:p>
        </w:tc>
      </w:tr>
      <w:tr>
        <w:trPr>
          <w:cantSplit/>
        </w:trPr>
        <w:tc>
          <w:tcPr>
            <w:tcW w:type="dxa" w:w="2880"/>
            <w:tcMar>
              <w:top w:w="90" w:type="dxa"/>
              <w:bottom w:w="90" w:type="dxa"/>
              <w:left w:w="120" w:type="dxa"/>
              <w:right w:w="120" w:type="dxa"/>
            </w:tcMar>
          </w:tcPr>
          <w:p>
            <w:r>
              <w:rPr>
                <w:sz w:val="17"/>
              </w:rPr>
              <w:t>Conspicuous Background Color Contrast</w:t>
              <w:br/>
              <w:t>(Rule 9(1)(b))</w:t>
            </w:r>
          </w:p>
        </w:tc>
        <w:tc>
          <w:tcPr>
            <w:tcW w:type="dxa" w:w="1224"/>
            <w:tcMar>
              <w:top w:w="90" w:type="dxa"/>
              <w:bottom w:w="90" w:type="dxa"/>
              <w:left w:w="120" w:type="dxa"/>
              <w:right w:w="120" w:type="dxa"/>
            </w:tcMar>
          </w:tcPr>
          <w:p>
            <w:r>
              <w:rPr>
                <w:b/>
                <w:color w:val="B91C1C"/>
                <w:sz w:val="17"/>
              </w:rPr>
              <w:t>FAIL</w:t>
            </w:r>
          </w:p>
        </w:tc>
        <w:tc>
          <w:tcPr>
            <w:tcW w:type="dxa" w:w="2592"/>
            <w:tcMar>
              <w:top w:w="90" w:type="dxa"/>
              <w:bottom w:w="90" w:type="dxa"/>
              <w:left w:w="120" w:type="dxa"/>
              <w:right w:w="120" w:type="dxa"/>
            </w:tcMar>
          </w:tcPr>
          <w:p>
            <w:r>
              <w:rPr>
                <w:sz w:val="17"/>
              </w:rPr>
              <w:t>Ratio: 2.32:1</w:t>
            </w:r>
          </w:p>
        </w:tc>
        <w:tc>
          <w:tcPr>
            <w:tcW w:type="dxa" w:w="2909"/>
            <w:tcMar>
              <w:top w:w="90" w:type="dxa"/>
              <w:bottom w:w="90" w:type="dxa"/>
              <w:left w:w="120" w:type="dxa"/>
              <w:right w:w="120" w:type="dxa"/>
            </w:tcMar>
          </w:tcPr>
          <w:p>
            <w:r>
              <w:rPr>
                <w:sz w:val="17"/>
              </w:rPr>
              <w:t>VIOLATION under Rule 9(1)(b): Contrast ratio (2.32:1) is below statutory 3.0:1.</w:t>
            </w:r>
          </w:p>
        </w:tc>
      </w:tr>
    </w:tbl>
    <w:p/>
    <w:p>
      <w:pPr>
        <w:pStyle w:val="Heading2"/>
      </w:pPr>
      <w:r>
        <w:t>2. Extracted Mandatory Declarations (Table 1.0 - Auditable Evidence)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592"/>
            <w:shd w:fill="F1F5F9"/>
            <w:tcMar>
              <w:top w:w="90" w:type="dxa"/>
              <w:bottom w:w="90" w:type="dxa"/>
              <w:left w:w="120" w:type="dxa"/>
              <w:right w:w="120" w:type="dxa"/>
            </w:tcMar>
          </w:tcPr>
          <w:p>
            <w:r>
              <w:rPr>
                <w:b/>
                <w:color w:val="0F172A"/>
                <w:sz w:val="18"/>
              </w:rPr>
              <w:t>Declaration Field</w:t>
            </w:r>
          </w:p>
        </w:tc>
        <w:tc>
          <w:tcPr>
            <w:tcW w:type="dxa" w:w="2448"/>
            <w:shd w:fill="F1F5F9"/>
            <w:tcMar>
              <w:top w:w="90" w:type="dxa"/>
              <w:bottom w:w="90" w:type="dxa"/>
              <w:left w:w="120" w:type="dxa"/>
              <w:right w:w="120" w:type="dxa"/>
            </w:tcMar>
          </w:tcPr>
          <w:p>
            <w:r>
              <w:rPr>
                <w:b/>
                <w:color w:val="0F172A"/>
                <w:sz w:val="18"/>
              </w:rPr>
              <w:t>Declared Value Found</w:t>
            </w:r>
          </w:p>
        </w:tc>
        <w:tc>
          <w:tcPr>
            <w:tcW w:type="dxa" w:w="1080"/>
            <w:shd w:fill="F1F5F9"/>
            <w:tcMar>
              <w:top w:w="90" w:type="dxa"/>
              <w:bottom w:w="90" w:type="dxa"/>
              <w:left w:w="120" w:type="dxa"/>
              <w:right w:w="120" w:type="dxa"/>
            </w:tcMar>
          </w:tcPr>
          <w:p>
            <w:r>
              <w:rPr>
                <w:b/>
                <w:color w:val="0F172A"/>
                <w:sz w:val="18"/>
              </w:rPr>
              <w:t>Status</w:t>
            </w:r>
          </w:p>
        </w:tc>
        <w:tc>
          <w:tcPr>
            <w:tcW w:type="dxa" w:w="1008"/>
            <w:shd w:fill="F1F5F9"/>
            <w:tcMar>
              <w:top w:w="90" w:type="dxa"/>
              <w:bottom w:w="90" w:type="dxa"/>
              <w:left w:w="120" w:type="dxa"/>
              <w:right w:w="120" w:type="dxa"/>
            </w:tcMar>
          </w:tcPr>
          <w:p>
            <w:r>
              <w:rPr>
                <w:b/>
                <w:color w:val="0F172A"/>
                <w:sz w:val="18"/>
              </w:rPr>
              <w:t>Confidence</w:t>
            </w:r>
          </w:p>
        </w:tc>
        <w:tc>
          <w:tcPr>
            <w:tcW w:type="dxa" w:w="2477"/>
            <w:shd w:fill="F1F5F9"/>
            <w:tcMar>
              <w:top w:w="90" w:type="dxa"/>
              <w:bottom w:w="90" w:type="dxa"/>
              <w:left w:w="120" w:type="dxa"/>
              <w:right w:w="120" w:type="dxa"/>
            </w:tcMar>
          </w:tcPr>
          <w:p>
            <w:r>
              <w:rPr>
                <w:b/>
                <w:color w:val="0F172A"/>
                <w:sz w:val="18"/>
              </w:rPr>
              <w:t>Statutory Audit Remarks</w:t>
            </w:r>
          </w:p>
        </w:tc>
      </w:tr>
      <w:tr>
        <w:trPr>
          <w:cantSplit/>
        </w:trPr>
        <w:tc>
          <w:tcPr>
            <w:tcW w:type="dxa" w:w="2592"/>
            <w:tcMar>
              <w:top w:w="90" w:type="dxa"/>
              <w:bottom w:w="90" w:type="dxa"/>
              <w:left w:w="120" w:type="dxa"/>
              <w:right w:w="120" w:type="dxa"/>
            </w:tcMar>
          </w:tcPr>
          <w:p>
            <w:r>
              <w:rPr>
                <w:sz w:val="17"/>
              </w:rPr>
              <w:t>Product / Brand Name</w:t>
            </w:r>
          </w:p>
        </w:tc>
        <w:tc>
          <w:tcPr>
            <w:tcW w:type="dxa" w:w="2448"/>
            <w:tcMar>
              <w:top w:w="90" w:type="dxa"/>
              <w:bottom w:w="90" w:type="dxa"/>
              <w:left w:w="120" w:type="dxa"/>
              <w:right w:w="120" w:type="dxa"/>
            </w:tcMar>
          </w:tcPr>
          <w:p>
            <w:r>
              <w:rPr>
                <w:sz w:val="17"/>
              </w:rPr>
              <w:t>Melody Chandan</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Identified from principal display panel.</w:t>
            </w:r>
          </w:p>
        </w:tc>
      </w:tr>
      <w:tr>
        <w:trPr>
          <w:cantSplit/>
        </w:trPr>
        <w:tc>
          <w:tcPr>
            <w:tcW w:type="dxa" w:w="2592"/>
            <w:tcMar>
              <w:top w:w="90" w:type="dxa"/>
              <w:bottom w:w="90" w:type="dxa"/>
              <w:left w:w="120" w:type="dxa"/>
              <w:right w:w="120" w:type="dxa"/>
            </w:tcMar>
          </w:tcPr>
          <w:p>
            <w:r>
              <w:rPr>
                <w:sz w:val="17"/>
              </w:rPr>
              <w:t>Common / Generic Commodity Name (Rule 6(1)(b))</w:t>
            </w:r>
          </w:p>
        </w:tc>
        <w:tc>
          <w:tcPr>
            <w:tcW w:type="dxa" w:w="2448"/>
            <w:tcMar>
              <w:top w:w="90" w:type="dxa"/>
              <w:bottom w:w="90" w:type="dxa"/>
              <w:left w:w="120" w:type="dxa"/>
              <w:right w:w="120" w:type="dxa"/>
            </w:tcMar>
          </w:tcPr>
          <w:p>
            <w:r>
              <w:rPr>
                <w:sz w:val="17"/>
              </w:rPr>
              <w:t>Sandalwood incense</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Generic name clearly declared.</w:t>
            </w:r>
          </w:p>
        </w:tc>
      </w:tr>
      <w:tr>
        <w:trPr>
          <w:cantSplit/>
        </w:trPr>
        <w:tc>
          <w:tcPr>
            <w:tcW w:type="dxa" w:w="2592"/>
            <w:tcMar>
              <w:top w:w="90" w:type="dxa"/>
              <w:bottom w:w="90" w:type="dxa"/>
              <w:left w:w="120" w:type="dxa"/>
              <w:right w:w="120" w:type="dxa"/>
            </w:tcMar>
          </w:tcPr>
          <w:p>
            <w:r>
              <w:rPr>
                <w:sz w:val="17"/>
              </w:rPr>
              <w:t>Manufacturer / Packer Legal Name (Rule 6(1)(a))</w:t>
            </w:r>
          </w:p>
        </w:tc>
        <w:tc>
          <w:tcPr>
            <w:tcW w:type="dxa" w:w="2448"/>
            <w:tcMar>
              <w:top w:w="90" w:type="dxa"/>
              <w:bottom w:w="90" w:type="dxa"/>
              <w:left w:w="120" w:type="dxa"/>
              <w:right w:w="120" w:type="dxa"/>
            </w:tcMar>
          </w:tcPr>
          <w:p>
            <w:r>
              <w:rPr>
                <w:sz w:val="17"/>
              </w:rPr>
              <w:t>N. Ranga Rao &amp; Sons Private Limited</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Manufacturer address is complete and compliant.</w:t>
            </w:r>
          </w:p>
        </w:tc>
      </w:tr>
      <w:tr>
        <w:trPr>
          <w:cantSplit/>
        </w:trPr>
        <w:tc>
          <w:tcPr>
            <w:tcW w:type="dxa" w:w="2592"/>
            <w:tcMar>
              <w:top w:w="90" w:type="dxa"/>
              <w:bottom w:w="90" w:type="dxa"/>
              <w:left w:w="120" w:type="dxa"/>
              <w:right w:w="120" w:type="dxa"/>
            </w:tcMar>
          </w:tcPr>
          <w:p>
            <w:r>
              <w:rPr>
                <w:sz w:val="17"/>
              </w:rPr>
              <w:t>Complete Physical Factory Address (Rule 6(1)(a))</w:t>
            </w:r>
          </w:p>
        </w:tc>
        <w:tc>
          <w:tcPr>
            <w:tcW w:type="dxa" w:w="2448"/>
            <w:tcMar>
              <w:top w:w="90" w:type="dxa"/>
              <w:bottom w:w="90" w:type="dxa"/>
              <w:left w:w="120" w:type="dxa"/>
              <w:right w:w="120" w:type="dxa"/>
            </w:tcMar>
          </w:tcPr>
          <w:p>
            <w:r>
              <w:rPr>
                <w:sz w:val="17"/>
              </w:rPr>
              <w:t>No.1553, Vanivilasa Road, Mysuru - 570 004, Karnataka, India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Manufacturer address is complete and compliant.</w:t>
            </w:r>
          </w:p>
        </w:tc>
      </w:tr>
      <w:tr>
        <w:trPr>
          <w:cantSplit/>
        </w:trPr>
        <w:tc>
          <w:tcPr>
            <w:tcW w:type="dxa" w:w="2592"/>
            <w:tcMar>
              <w:top w:w="90" w:type="dxa"/>
              <w:bottom w:w="90" w:type="dxa"/>
              <w:left w:w="120" w:type="dxa"/>
              <w:right w:w="120" w:type="dxa"/>
            </w:tcMar>
          </w:tcPr>
          <w:p>
            <w:r>
              <w:rPr>
                <w:sz w:val="17"/>
              </w:rPr>
              <w:t>Net Quantity &amp; Standard SI Units (Rule 6(1)(c) &amp; Rule 13)</w:t>
            </w:r>
          </w:p>
        </w:tc>
        <w:tc>
          <w:tcPr>
            <w:tcW w:type="dxa" w:w="2448"/>
            <w:tcMar>
              <w:top w:w="90" w:type="dxa"/>
              <w:bottom w:w="90" w:type="dxa"/>
              <w:left w:w="120" w:type="dxa"/>
              <w:right w:w="120" w:type="dxa"/>
            </w:tcMar>
          </w:tcPr>
          <w:p>
            <w:r>
              <w:rPr>
                <w:sz w:val="17"/>
              </w:rPr>
              <w:t>125 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Net quantity declared in standard SI unit.</w:t>
            </w:r>
          </w:p>
        </w:tc>
      </w:tr>
      <w:tr>
        <w:trPr>
          <w:cantSplit/>
        </w:trPr>
        <w:tc>
          <w:tcPr>
            <w:tcW w:type="dxa" w:w="2592"/>
            <w:tcMar>
              <w:top w:w="90" w:type="dxa"/>
              <w:bottom w:w="90" w:type="dxa"/>
              <w:left w:w="120" w:type="dxa"/>
              <w:right w:w="120" w:type="dxa"/>
            </w:tcMar>
          </w:tcPr>
          <w:p>
            <w:r>
              <w:rPr>
                <w:sz w:val="17"/>
              </w:rPr>
              <w:t>Maximum Retail Price [MRP] (Rule 6(1)(e))</w:t>
            </w:r>
          </w:p>
        </w:tc>
        <w:tc>
          <w:tcPr>
            <w:tcW w:type="dxa" w:w="2448"/>
            <w:tcMar>
              <w:top w:w="90" w:type="dxa"/>
              <w:bottom w:w="90" w:type="dxa"/>
              <w:left w:w="120" w:type="dxa"/>
              <w:right w:w="120" w:type="dxa"/>
            </w:tcMar>
          </w:tcPr>
          <w:p>
            <w:r>
              <w:rPr>
                <w:sz w:val="17"/>
              </w:rPr>
              <w:t>₹ 75.00</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MRP declared inclusive of all taxes.</w:t>
            </w:r>
          </w:p>
        </w:tc>
      </w:tr>
      <w:tr>
        <w:trPr>
          <w:cantSplit/>
        </w:trPr>
        <w:tc>
          <w:tcPr>
            <w:tcW w:type="dxa" w:w="2592"/>
            <w:tcMar>
              <w:top w:w="90" w:type="dxa"/>
              <w:bottom w:w="90" w:type="dxa"/>
              <w:left w:w="120" w:type="dxa"/>
              <w:right w:w="120" w:type="dxa"/>
            </w:tcMar>
          </w:tcPr>
          <w:p>
            <w:r>
              <w:rPr>
                <w:sz w:val="17"/>
              </w:rPr>
              <w:t>Unit Sale Price [USP] (Rule 6(1)(e) Amendment)</w:t>
            </w:r>
          </w:p>
        </w:tc>
        <w:tc>
          <w:tcPr>
            <w:tcW w:type="dxa" w:w="2448"/>
            <w:tcMar>
              <w:top w:w="90" w:type="dxa"/>
              <w:bottom w:w="90" w:type="dxa"/>
              <w:left w:w="120" w:type="dxa"/>
              <w:right w:w="120" w:type="dxa"/>
            </w:tcMar>
          </w:tcPr>
          <w:p>
            <w:r>
              <w:rPr>
                <w:sz w:val="17"/>
              </w:rPr>
              <w:t>₹ 0.60 per 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Unit Sale Price verified: Declared '₹ 0.60 per g' matches calculated Rs per g (Rs. 0.60).</w:t>
            </w:r>
          </w:p>
        </w:tc>
      </w:tr>
      <w:tr>
        <w:trPr>
          <w:cantSplit/>
        </w:trPr>
        <w:tc>
          <w:tcPr>
            <w:tcW w:type="dxa" w:w="2592"/>
            <w:tcMar>
              <w:top w:w="90" w:type="dxa"/>
              <w:bottom w:w="90" w:type="dxa"/>
              <w:left w:w="120" w:type="dxa"/>
              <w:right w:w="120" w:type="dxa"/>
            </w:tcMar>
          </w:tcPr>
          <w:p>
            <w:r>
              <w:rPr>
                <w:sz w:val="17"/>
              </w:rPr>
              <w:t>Month &amp; Year of Manufacture / Packing (Rule 6(1)(d))</w:t>
            </w:r>
          </w:p>
        </w:tc>
        <w:tc>
          <w:tcPr>
            <w:tcW w:type="dxa" w:w="2448"/>
            <w:tcMar>
              <w:top w:w="90" w:type="dxa"/>
              <w:bottom w:w="90" w:type="dxa"/>
              <w:left w:w="120" w:type="dxa"/>
              <w:right w:w="120" w:type="dxa"/>
            </w:tcMar>
          </w:tcPr>
          <w:p>
            <w:r>
              <w:rPr>
                <w:sz w:val="17"/>
              </w:rPr>
              <w:t>BE 87 41</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90%</w:t>
            </w:r>
          </w:p>
        </w:tc>
        <w:tc>
          <w:tcPr>
            <w:tcW w:type="dxa" w:w="2477"/>
            <w:tcMar>
              <w:top w:w="90" w:type="dxa"/>
              <w:bottom w:w="90" w:type="dxa"/>
              <w:left w:w="120" w:type="dxa"/>
              <w:right w:w="120" w:type="dxa"/>
            </w:tcMar>
          </w:tcPr>
          <w:p>
            <w:r>
              <w:rPr>
                <w:sz w:val="17"/>
              </w:rPr>
              <w:t>Batch number present, but manufacturing date is not explicitly visible on the panel.</w:t>
            </w:r>
          </w:p>
        </w:tc>
      </w:tr>
      <w:tr>
        <w:trPr>
          <w:cantSplit/>
        </w:trPr>
        <w:tc>
          <w:tcPr>
            <w:tcW w:type="dxa" w:w="2592"/>
            <w:tcMar>
              <w:top w:w="90" w:type="dxa"/>
              <w:bottom w:w="90" w:type="dxa"/>
              <w:left w:w="120" w:type="dxa"/>
              <w:right w:w="120" w:type="dxa"/>
            </w:tcMar>
          </w:tcPr>
          <w:p>
            <w:r>
              <w:rPr>
                <w:sz w:val="17"/>
              </w:rPr>
              <w:t>Consumer Care Contact Details (Rule 6(1)(f))</w:t>
            </w:r>
          </w:p>
        </w:tc>
        <w:tc>
          <w:tcPr>
            <w:tcW w:type="dxa" w:w="2448"/>
            <w:tcMar>
              <w:top w:w="90" w:type="dxa"/>
              <w:bottom w:w="90" w:type="dxa"/>
              <w:left w:w="120" w:type="dxa"/>
              <w:right w:w="120" w:type="dxa"/>
            </w:tcMar>
          </w:tcPr>
          <w:p>
            <w:r>
              <w:rPr>
                <w:sz w:val="17"/>
              </w:rPr>
              <w:t>Quality Manager, N. Ranga Rao &amp; Sons Private Limited. No.1553, Vanivilasa Road, Mysuru - 570 004, Karnataka, India. +91 (821) 252 1985, quality@nrrs.net</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Consumer care details are complete.</w:t>
            </w:r>
          </w:p>
        </w:tc>
      </w:tr>
      <w:tr>
        <w:trPr>
          <w:cantSplit/>
        </w:trPr>
        <w:tc>
          <w:tcPr>
            <w:tcW w:type="dxa" w:w="2592"/>
            <w:tcMar>
              <w:top w:w="90" w:type="dxa"/>
              <w:bottom w:w="90" w:type="dxa"/>
              <w:left w:w="120" w:type="dxa"/>
              <w:right w:w="120" w:type="dxa"/>
            </w:tcMar>
          </w:tcPr>
          <w:p>
            <w:r>
              <w:rPr>
                <w:sz w:val="17"/>
              </w:rPr>
              <w:t>Country of Origin Declaration (Rule 6(1)(g))</w:t>
            </w:r>
          </w:p>
        </w:tc>
        <w:tc>
          <w:tcPr>
            <w:tcW w:type="dxa" w:w="2448"/>
            <w:tcMar>
              <w:top w:w="90" w:type="dxa"/>
              <w:bottom w:w="90" w:type="dxa"/>
              <w:left w:w="120" w:type="dxa"/>
              <w:right w:w="120" w:type="dxa"/>
            </w:tcMar>
          </w:tcPr>
          <w:p>
            <w:r>
              <w:rPr>
                <w:sz w:val="17"/>
              </w:rPr>
              <w:t>India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Country of origin declared.</w:t>
            </w:r>
          </w:p>
        </w:tc>
      </w:tr>
    </w:tbl>
    <w:p/>
    <w:p>
      <w:pPr>
        <w:pStyle w:val="Heading2"/>
      </w:pPr>
      <w:r>
        <w:t>3. Manufacturer, Packer &amp; Importer Traceability Details (Rule 6(1)(a) &amp; Rule 10)</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448"/>
            <w:shd w:fill="F1F5F9"/>
            <w:tcMar>
              <w:top w:w="90" w:type="dxa"/>
              <w:bottom w:w="90" w:type="dxa"/>
              <w:left w:w="120" w:type="dxa"/>
              <w:right w:w="120" w:type="dxa"/>
            </w:tcMar>
          </w:tcPr>
          <w:p>
            <w:r>
              <w:rPr>
                <w:b/>
                <w:color w:val="0F172A"/>
                <w:sz w:val="18"/>
              </w:rPr>
              <w:t>Traceability Parameter</w:t>
            </w:r>
          </w:p>
        </w:tc>
        <w:tc>
          <w:tcPr>
            <w:tcW w:type="dxa" w:w="3168"/>
            <w:shd w:fill="F1F5F9"/>
            <w:tcMar>
              <w:top w:w="90" w:type="dxa"/>
              <w:bottom w:w="90" w:type="dxa"/>
              <w:left w:w="120" w:type="dxa"/>
              <w:right w:w="120" w:type="dxa"/>
            </w:tcMar>
          </w:tcPr>
          <w:p>
            <w:r>
              <w:rPr>
                <w:b/>
                <w:color w:val="0F172A"/>
                <w:sz w:val="18"/>
              </w:rPr>
              <w:t>Resolved Declaration Details</w:t>
            </w:r>
          </w:p>
        </w:tc>
        <w:tc>
          <w:tcPr>
            <w:tcW w:type="dxa" w:w="1584"/>
            <w:shd w:fill="F1F5F9"/>
            <w:tcMar>
              <w:top w:w="90" w:type="dxa"/>
              <w:bottom w:w="90" w:type="dxa"/>
              <w:left w:w="120" w:type="dxa"/>
              <w:right w:w="120" w:type="dxa"/>
            </w:tcMar>
          </w:tcPr>
          <w:p>
            <w:r>
              <w:rPr>
                <w:b/>
                <w:color w:val="0F172A"/>
                <w:sz w:val="18"/>
              </w:rPr>
              <w:t>Verification Source</w:t>
            </w:r>
          </w:p>
        </w:tc>
        <w:tc>
          <w:tcPr>
            <w:tcW w:type="dxa" w:w="2405"/>
            <w:shd w:fill="F1F5F9"/>
            <w:tcMar>
              <w:top w:w="90" w:type="dxa"/>
              <w:bottom w:w="90" w:type="dxa"/>
              <w:left w:w="120" w:type="dxa"/>
              <w:right w:w="120" w:type="dxa"/>
            </w:tcMar>
          </w:tcPr>
          <w:p>
            <w:r>
              <w:rPr>
                <w:b/>
                <w:color w:val="0F172A"/>
                <w:sz w:val="18"/>
              </w:rPr>
              <w:t>Compliance Findings</w:t>
            </w:r>
          </w:p>
        </w:tc>
      </w:tr>
      <w:tr>
        <w:trPr>
          <w:cantSplit/>
        </w:trPr>
        <w:tc>
          <w:tcPr>
            <w:tcW w:type="dxa" w:w="2448"/>
            <w:tcMar>
              <w:top w:w="90" w:type="dxa"/>
              <w:bottom w:w="90" w:type="dxa"/>
              <w:left w:w="120" w:type="dxa"/>
              <w:right w:w="120" w:type="dxa"/>
            </w:tcMar>
          </w:tcPr>
          <w:p>
            <w:r>
              <w:rPr>
                <w:sz w:val="17"/>
              </w:rPr>
              <w:t>Manufacturer / Packer Name</w:t>
            </w:r>
          </w:p>
        </w:tc>
        <w:tc>
          <w:tcPr>
            <w:tcW w:type="dxa" w:w="3168"/>
            <w:tcMar>
              <w:top w:w="90" w:type="dxa"/>
              <w:bottom w:w="90" w:type="dxa"/>
              <w:left w:w="120" w:type="dxa"/>
              <w:right w:w="120" w:type="dxa"/>
            </w:tcMar>
          </w:tcPr>
          <w:p>
            <w:r>
              <w:rPr>
                <w:sz w:val="17"/>
              </w:rPr>
              <w:t>N. Ranga Rao &amp; Sons Private Limited</w:t>
            </w:r>
          </w:p>
        </w:tc>
        <w:tc>
          <w:tcPr>
            <w:tcW w:type="dxa" w:w="1584"/>
            <w:tcMar>
              <w:top w:w="90" w:type="dxa"/>
              <w:bottom w:w="90" w:type="dxa"/>
              <w:left w:w="120" w:type="dxa"/>
              <w:right w:w="120" w:type="dxa"/>
            </w:tcMar>
          </w:tcPr>
          <w:p>
            <w:r>
              <w:rPr>
                <w:sz w:val="17"/>
              </w:rPr>
              <w:t>ON_PACK</w:t>
            </w:r>
          </w:p>
        </w:tc>
        <w:tc>
          <w:tcPr>
            <w:tcW w:type="dxa" w:w="2405"/>
            <w:tcMar>
              <w:top w:w="90" w:type="dxa"/>
              <w:bottom w:w="90" w:type="dxa"/>
              <w:left w:w="120" w:type="dxa"/>
              <w:right w:w="120" w:type="dxa"/>
            </w:tcMar>
          </w:tcPr>
          <w:p>
            <w:r>
              <w:rPr>
                <w:sz w:val="17"/>
              </w:rPr>
              <w:t>Physical factory identity recorded.</w:t>
            </w:r>
          </w:p>
        </w:tc>
      </w:tr>
      <w:tr>
        <w:trPr>
          <w:cantSplit/>
        </w:trPr>
        <w:tc>
          <w:tcPr>
            <w:tcW w:type="dxa" w:w="2448"/>
            <w:tcMar>
              <w:top w:w="90" w:type="dxa"/>
              <w:bottom w:w="90" w:type="dxa"/>
              <w:left w:w="120" w:type="dxa"/>
              <w:right w:w="120" w:type="dxa"/>
            </w:tcMar>
          </w:tcPr>
          <w:p>
            <w:r>
              <w:rPr>
                <w:sz w:val="17"/>
              </w:rPr>
              <w:t>Factory Premises Address</w:t>
            </w:r>
          </w:p>
        </w:tc>
        <w:tc>
          <w:tcPr>
            <w:tcW w:type="dxa" w:w="3168"/>
            <w:tcMar>
              <w:top w:w="90" w:type="dxa"/>
              <w:bottom w:w="90" w:type="dxa"/>
              <w:left w:w="120" w:type="dxa"/>
              <w:right w:w="120" w:type="dxa"/>
            </w:tcMar>
          </w:tcPr>
          <w:p>
            <w:r>
              <w:rPr>
                <w:sz w:val="17"/>
              </w:rPr>
              <w:t>No.1553, Vanivilasa Road, Mysuru - 570 004, Karnataka, India</w:t>
            </w:r>
          </w:p>
        </w:tc>
        <w:tc>
          <w:tcPr>
            <w:tcW w:type="dxa" w:w="1584"/>
            <w:tcMar>
              <w:top w:w="90" w:type="dxa"/>
              <w:bottom w:w="90" w:type="dxa"/>
              <w:left w:w="120" w:type="dxa"/>
              <w:right w:w="120" w:type="dxa"/>
            </w:tcMar>
          </w:tcPr>
          <w:p>
            <w:r>
              <w:rPr>
                <w:sz w:val="17"/>
              </w:rPr>
              <w:t>ON_PACK</w:t>
            </w:r>
          </w:p>
        </w:tc>
        <w:tc>
          <w:tcPr>
            <w:tcW w:type="dxa" w:w="2405"/>
            <w:tcMar>
              <w:top w:w="90" w:type="dxa"/>
              <w:bottom w:w="90" w:type="dxa"/>
              <w:left w:w="120" w:type="dxa"/>
              <w:right w:w="120" w:type="dxa"/>
            </w:tcMar>
          </w:tcPr>
          <w:p>
            <w:r>
              <w:rPr>
                <w:sz w:val="17"/>
              </w:rPr>
              <w:t>Manufacturer address is complete and compliant.</w:t>
            </w:r>
          </w:p>
        </w:tc>
      </w:tr>
      <w:tr>
        <w:trPr>
          <w:cantSplit/>
        </w:trPr>
        <w:tc>
          <w:tcPr>
            <w:tcW w:type="dxa" w:w="2448"/>
            <w:tcMar>
              <w:top w:w="90" w:type="dxa"/>
              <w:bottom w:w="90" w:type="dxa"/>
              <w:left w:w="120" w:type="dxa"/>
              <w:right w:w="120" w:type="dxa"/>
            </w:tcMar>
          </w:tcPr>
          <w:p>
            <w:r>
              <w:rPr>
                <w:sz w:val="17"/>
              </w:rPr>
              <w:t>QR Portal / Digital Link</w:t>
            </w:r>
          </w:p>
        </w:tc>
        <w:tc>
          <w:tcPr>
            <w:tcW w:type="dxa" w:w="3168"/>
            <w:tcMar>
              <w:top w:w="90" w:type="dxa"/>
              <w:bottom w:w="90" w:type="dxa"/>
              <w:left w:w="120" w:type="dxa"/>
              <w:right w:w="120" w:type="dxa"/>
            </w:tcMar>
          </w:tcPr>
          <w:p>
            <w:r>
              <w:rPr>
                <w:sz w:val="17"/>
              </w:rPr>
              <w:t>None on Packaging</w:t>
            </w:r>
          </w:p>
        </w:tc>
        <w:tc>
          <w:tcPr>
            <w:tcW w:type="dxa" w:w="1584"/>
            <w:tcMar>
              <w:top w:w="90" w:type="dxa"/>
              <w:bottom w:w="90" w:type="dxa"/>
              <w:left w:w="120" w:type="dxa"/>
              <w:right w:w="120" w:type="dxa"/>
            </w:tcMar>
          </w:tcPr>
          <w:p>
            <w:r>
              <w:rPr>
                <w:sz w:val="17"/>
              </w:rPr>
              <w:t>Optical QR Sweep</w:t>
            </w:r>
          </w:p>
        </w:tc>
        <w:tc>
          <w:tcPr>
            <w:tcW w:type="dxa" w:w="2405"/>
            <w:tcMar>
              <w:top w:w="90" w:type="dxa"/>
              <w:bottom w:w="90" w:type="dxa"/>
              <w:left w:w="120" w:type="dxa"/>
              <w:right w:w="120" w:type="dxa"/>
            </w:tcMar>
          </w:tcPr>
          <w:p>
            <w:r>
              <w:rPr>
                <w:sz w:val="17"/>
              </w:rPr>
              <w:t>Batch code used: 'BE 87 41'</w:t>
            </w:r>
          </w:p>
        </w:tc>
      </w:tr>
      <w:tr>
        <w:trPr>
          <w:cantSplit/>
        </w:trPr>
        <w:tc>
          <w:tcPr>
            <w:tcW w:type="dxa" w:w="2448"/>
            <w:tcMar>
              <w:top w:w="90" w:type="dxa"/>
              <w:bottom w:w="90" w:type="dxa"/>
              <w:left w:w="120" w:type="dxa"/>
              <w:right w:w="120" w:type="dxa"/>
            </w:tcMar>
          </w:tcPr>
          <w:p>
            <w:r>
              <w:rPr>
                <w:sz w:val="17"/>
              </w:rPr>
              <w:t>Country of Origin</w:t>
            </w:r>
          </w:p>
        </w:tc>
        <w:tc>
          <w:tcPr>
            <w:tcW w:type="dxa" w:w="3168"/>
            <w:tcMar>
              <w:top w:w="90" w:type="dxa"/>
              <w:bottom w:w="90" w:type="dxa"/>
              <w:left w:w="120" w:type="dxa"/>
              <w:right w:w="120" w:type="dxa"/>
            </w:tcMar>
          </w:tcPr>
          <w:p>
            <w:r>
              <w:rPr>
                <w:sz w:val="17"/>
              </w:rPr>
              <w:t>India</w:t>
            </w:r>
          </w:p>
        </w:tc>
        <w:tc>
          <w:tcPr>
            <w:tcW w:type="dxa" w:w="1584"/>
            <w:tcMar>
              <w:top w:w="90" w:type="dxa"/>
              <w:bottom w:w="90" w:type="dxa"/>
              <w:left w:w="120" w:type="dxa"/>
              <w:right w:w="120" w:type="dxa"/>
            </w:tcMar>
          </w:tcPr>
          <w:p>
            <w:r>
              <w:rPr>
                <w:sz w:val="17"/>
              </w:rPr>
              <w:t>Rule 6(1)(g)</w:t>
            </w:r>
          </w:p>
        </w:tc>
        <w:tc>
          <w:tcPr>
            <w:tcW w:type="dxa" w:w="2405"/>
            <w:tcMar>
              <w:top w:w="90" w:type="dxa"/>
              <w:bottom w:w="90" w:type="dxa"/>
              <w:left w:w="120" w:type="dxa"/>
              <w:right w:w="120" w:type="dxa"/>
            </w:tcMar>
          </w:tcPr>
          <w:p>
            <w:r>
              <w:rPr>
                <w:sz w:val="17"/>
              </w:rPr>
              <w:t>Country of origin declared.</w:t>
            </w:r>
          </w:p>
        </w:tc>
      </w:tr>
    </w:tbl>
    <w:p/>
    <w:p>
      <w:pPr>
        <w:pStyle w:val="Heading2"/>
      </w:pPr>
      <w:r>
        <w:t>4. Unit Sale Price (USP) Mathematical Cross-Verification (Rule 6(1)(e))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872"/>
            <w:shd w:fill="F1F5F9"/>
            <w:tcMar>
              <w:top w:w="90" w:type="dxa"/>
              <w:bottom w:w="90" w:type="dxa"/>
              <w:left w:w="120" w:type="dxa"/>
              <w:right w:w="120" w:type="dxa"/>
            </w:tcMar>
          </w:tcPr>
          <w:p>
            <w:r>
              <w:rPr>
                <w:b/>
                <w:color w:val="0F172A"/>
                <w:sz w:val="18"/>
              </w:rPr>
              <w:t>Declared MRP</w:t>
            </w:r>
          </w:p>
        </w:tc>
        <w:tc>
          <w:tcPr>
            <w:tcW w:type="dxa" w:w="1872"/>
            <w:shd w:fill="F1F5F9"/>
            <w:tcMar>
              <w:top w:w="90" w:type="dxa"/>
              <w:bottom w:w="90" w:type="dxa"/>
              <w:left w:w="120" w:type="dxa"/>
              <w:right w:w="120" w:type="dxa"/>
            </w:tcMar>
          </w:tcPr>
          <w:p>
            <w:r>
              <w:rPr>
                <w:b/>
                <w:color w:val="0F172A"/>
                <w:sz w:val="18"/>
              </w:rPr>
              <w:t>Net Quantity</w:t>
            </w:r>
          </w:p>
        </w:tc>
        <w:tc>
          <w:tcPr>
            <w:tcW w:type="dxa" w:w="1872"/>
            <w:shd w:fill="F1F5F9"/>
            <w:tcMar>
              <w:top w:w="90" w:type="dxa"/>
              <w:bottom w:w="90" w:type="dxa"/>
              <w:left w:w="120" w:type="dxa"/>
              <w:right w:w="120" w:type="dxa"/>
            </w:tcMar>
          </w:tcPr>
          <w:p>
            <w:r>
              <w:rPr>
                <w:b/>
                <w:color w:val="0F172A"/>
                <w:sz w:val="18"/>
              </w:rPr>
              <w:t>Declared USP</w:t>
            </w:r>
          </w:p>
        </w:tc>
        <w:tc>
          <w:tcPr>
            <w:tcW w:type="dxa" w:w="2304"/>
            <w:shd w:fill="F1F5F9"/>
            <w:tcMar>
              <w:top w:w="90" w:type="dxa"/>
              <w:bottom w:w="90" w:type="dxa"/>
              <w:left w:w="120" w:type="dxa"/>
              <w:right w:w="120" w:type="dxa"/>
            </w:tcMar>
          </w:tcPr>
          <w:p>
            <w:r>
              <w:rPr>
                <w:b/>
                <w:color w:val="0F172A"/>
                <w:sz w:val="18"/>
              </w:rPr>
              <w:t>Calculated Base USP</w:t>
            </w:r>
          </w:p>
        </w:tc>
        <w:tc>
          <w:tcPr>
            <w:tcW w:type="dxa" w:w="1685"/>
            <w:shd w:fill="F1F5F9"/>
            <w:tcMar>
              <w:top w:w="90" w:type="dxa"/>
              <w:bottom w:w="90" w:type="dxa"/>
              <w:left w:w="120" w:type="dxa"/>
              <w:right w:w="120" w:type="dxa"/>
            </w:tcMar>
          </w:tcPr>
          <w:p>
            <w:r>
              <w:rPr>
                <w:b/>
                <w:color w:val="0F172A"/>
                <w:sz w:val="18"/>
              </w:rPr>
              <w:t>Verdict</w:t>
            </w:r>
          </w:p>
        </w:tc>
      </w:tr>
      <w:tr>
        <w:trPr>
          <w:cantSplit/>
        </w:trPr>
        <w:tc>
          <w:tcPr>
            <w:tcW w:type="dxa" w:w="1872"/>
            <w:tcMar>
              <w:top w:w="90" w:type="dxa"/>
              <w:bottom w:w="90" w:type="dxa"/>
              <w:left w:w="120" w:type="dxa"/>
              <w:right w:w="120" w:type="dxa"/>
            </w:tcMar>
          </w:tcPr>
          <w:p>
            <w:r>
              <w:rPr>
                <w:sz w:val="17"/>
              </w:rPr>
              <w:t>Rs. 75.0</w:t>
            </w:r>
          </w:p>
        </w:tc>
        <w:tc>
          <w:tcPr>
            <w:tcW w:type="dxa" w:w="1872"/>
            <w:tcMar>
              <w:top w:w="90" w:type="dxa"/>
              <w:bottom w:w="90" w:type="dxa"/>
              <w:left w:w="120" w:type="dxa"/>
              <w:right w:w="120" w:type="dxa"/>
            </w:tcMar>
          </w:tcPr>
          <w:p>
            <w:r>
              <w:rPr>
                <w:sz w:val="17"/>
              </w:rPr>
              <w:t>125 g</w:t>
            </w:r>
          </w:p>
        </w:tc>
        <w:tc>
          <w:tcPr>
            <w:tcW w:type="dxa" w:w="1872"/>
            <w:tcMar>
              <w:top w:w="90" w:type="dxa"/>
              <w:bottom w:w="90" w:type="dxa"/>
              <w:left w:w="120" w:type="dxa"/>
              <w:right w:w="120" w:type="dxa"/>
            </w:tcMar>
          </w:tcPr>
          <w:p>
            <w:r>
              <w:rPr>
                <w:sz w:val="17"/>
              </w:rPr>
              <w:t>₹ 0.60 per g</w:t>
            </w:r>
          </w:p>
        </w:tc>
        <w:tc>
          <w:tcPr>
            <w:tcW w:type="dxa" w:w="2304"/>
            <w:tcMar>
              <w:top w:w="90" w:type="dxa"/>
              <w:bottom w:w="90" w:type="dxa"/>
              <w:left w:w="120" w:type="dxa"/>
              <w:right w:w="120" w:type="dxa"/>
            </w:tcMar>
          </w:tcPr>
          <w:p>
            <w:r>
              <w:rPr>
                <w:sz w:val="17"/>
              </w:rPr>
              <w:t>Rs. 0.6 Rs per g</w:t>
            </w:r>
          </w:p>
        </w:tc>
        <w:tc>
          <w:tcPr>
            <w:tcW w:type="dxa" w:w="1685"/>
            <w:tcMar>
              <w:top w:w="90" w:type="dxa"/>
              <w:bottom w:w="90" w:type="dxa"/>
              <w:left w:w="120" w:type="dxa"/>
              <w:right w:w="120" w:type="dxa"/>
            </w:tcMar>
          </w:tcPr>
          <w:p>
            <w:r>
              <w:rPr>
                <w:b/>
                <w:color w:val="15803D"/>
                <w:sz w:val="17"/>
              </w:rPr>
              <w:t>COMPLIANT</w:t>
            </w:r>
          </w:p>
        </w:tc>
      </w:tr>
    </w:tbl>
    <w:p>
      <w:r>
        <w:rPr>
          <w:i/>
          <w:sz w:val="17"/>
        </w:rPr>
        <w:t>Statutory Analysis: Unit Sale Price verified: Declared '₹ 0.60 per g' matches calculated Rs per g (Rs. 0.60).</w:t>
      </w:r>
    </w:p>
    <w:p>
      <w:pPr>
        <w:pStyle w:val="Heading2"/>
      </w:pPr>
      <w:r>
        <w:t>6. Physical &amp; Visual Metrology Audit (Rule 7 &amp; 9)</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880"/>
            <w:shd w:fill="F1F5F9"/>
            <w:tcMar>
              <w:top w:w="90" w:type="dxa"/>
              <w:bottom w:w="90" w:type="dxa"/>
              <w:left w:w="120" w:type="dxa"/>
              <w:right w:w="120" w:type="dxa"/>
            </w:tcMar>
          </w:tcPr>
          <w:p>
            <w:r>
              <w:rPr>
                <w:b/>
                <w:color w:val="0F172A"/>
                <w:sz w:val="18"/>
              </w:rPr>
              <w:t>Metrology Parameter</w:t>
            </w:r>
          </w:p>
        </w:tc>
        <w:tc>
          <w:tcPr>
            <w:tcW w:type="dxa" w:w="1728"/>
            <w:shd w:fill="F1F5F9"/>
            <w:tcMar>
              <w:top w:w="90" w:type="dxa"/>
              <w:bottom w:w="90" w:type="dxa"/>
              <w:left w:w="120" w:type="dxa"/>
              <w:right w:w="120" w:type="dxa"/>
            </w:tcMar>
          </w:tcPr>
          <w:p>
            <w:r>
              <w:rPr>
                <w:b/>
                <w:color w:val="0F172A"/>
                <w:sz w:val="18"/>
              </w:rPr>
              <w:t>Measured Value</w:t>
            </w:r>
          </w:p>
        </w:tc>
        <w:tc>
          <w:tcPr>
            <w:tcW w:type="dxa" w:w="1728"/>
            <w:shd w:fill="F1F5F9"/>
            <w:tcMar>
              <w:top w:w="90" w:type="dxa"/>
              <w:bottom w:w="90" w:type="dxa"/>
              <w:left w:w="120" w:type="dxa"/>
              <w:right w:w="120" w:type="dxa"/>
            </w:tcMar>
          </w:tcPr>
          <w:p>
            <w:r>
              <w:rPr>
                <w:b/>
                <w:color w:val="0F172A"/>
                <w:sz w:val="18"/>
              </w:rPr>
              <w:t>Statutory Benchmark</w:t>
            </w:r>
          </w:p>
        </w:tc>
        <w:tc>
          <w:tcPr>
            <w:tcW w:type="dxa" w:w="1296"/>
            <w:shd w:fill="F1F5F9"/>
            <w:tcMar>
              <w:top w:w="90" w:type="dxa"/>
              <w:bottom w:w="90" w:type="dxa"/>
              <w:left w:w="120" w:type="dxa"/>
              <w:right w:w="120" w:type="dxa"/>
            </w:tcMar>
          </w:tcPr>
          <w:p>
            <w:r>
              <w:rPr>
                <w:b/>
                <w:color w:val="0F172A"/>
                <w:sz w:val="18"/>
              </w:rPr>
              <w:t>Verdict</w:t>
            </w:r>
          </w:p>
        </w:tc>
        <w:tc>
          <w:tcPr>
            <w:tcW w:type="dxa" w:w="1973"/>
            <w:shd w:fill="F1F5F9"/>
            <w:tcMar>
              <w:top w:w="90" w:type="dxa"/>
              <w:bottom w:w="90" w:type="dxa"/>
              <w:left w:w="120" w:type="dxa"/>
              <w:right w:w="120" w:type="dxa"/>
            </w:tcMar>
          </w:tcPr>
          <w:p>
            <w:r>
              <w:rPr>
                <w:b/>
                <w:color w:val="0F172A"/>
                <w:sz w:val="18"/>
              </w:rPr>
              <w:t>Remarks</w:t>
            </w:r>
          </w:p>
        </w:tc>
      </w:tr>
      <w:tr>
        <w:trPr>
          <w:cantSplit/>
        </w:trPr>
        <w:tc>
          <w:tcPr>
            <w:tcW w:type="dxa" w:w="2880"/>
            <w:tcMar>
              <w:top w:w="90" w:type="dxa"/>
              <w:bottom w:w="90" w:type="dxa"/>
              <w:left w:w="120" w:type="dxa"/>
              <w:right w:w="120" w:type="dxa"/>
            </w:tcMar>
          </w:tcPr>
          <w:p>
            <w:r>
              <w:rPr>
                <w:sz w:val="17"/>
              </w:rPr>
              <w:t>Table-I Numeral &amp; Letter Height (Rule 7(2))</w:t>
            </w:r>
          </w:p>
        </w:tc>
        <w:tc>
          <w:tcPr>
            <w:tcW w:type="dxa" w:w="1728"/>
            <w:tcMar>
              <w:top w:w="90" w:type="dxa"/>
              <w:bottom w:w="90" w:type="dxa"/>
              <w:left w:w="120" w:type="dxa"/>
              <w:right w:w="120" w:type="dxa"/>
            </w:tcMar>
          </w:tcPr>
          <w:p>
            <w:r>
              <w:rPr>
                <w:sz w:val="17"/>
              </w:rPr>
              <w:t>2.12 mm</w:t>
            </w:r>
          </w:p>
        </w:tc>
        <w:tc>
          <w:tcPr>
            <w:tcW w:type="dxa" w:w="1728"/>
            <w:tcMar>
              <w:top w:w="90" w:type="dxa"/>
              <w:bottom w:w="90" w:type="dxa"/>
              <w:left w:w="120" w:type="dxa"/>
              <w:right w:w="120" w:type="dxa"/>
            </w:tcMar>
          </w:tcPr>
          <w:p>
            <w:r>
              <w:rPr>
                <w:sz w:val="17"/>
              </w:rPr>
              <w:t>Min 1.0 mm</w:t>
            </w:r>
          </w:p>
        </w:tc>
        <w:tc>
          <w:tcPr>
            <w:tcW w:type="dxa" w:w="1296"/>
            <w:tcMar>
              <w:top w:w="90" w:type="dxa"/>
              <w:bottom w:w="90" w:type="dxa"/>
              <w:left w:w="120" w:type="dxa"/>
              <w:right w:w="120" w:type="dxa"/>
            </w:tcMar>
          </w:tcPr>
          <w:p>
            <w:r>
              <w:rPr>
                <w:b/>
                <w:color w:val="15803D"/>
                <w:sz w:val="17"/>
              </w:rPr>
              <w:t>PASS</w:t>
            </w:r>
          </w:p>
        </w:tc>
        <w:tc>
          <w:tcPr>
            <w:tcW w:type="dxa" w:w="1973"/>
            <w:tcMar>
              <w:top w:w="90" w:type="dxa"/>
              <w:bottom w:w="90" w:type="dxa"/>
              <w:left w:w="120" w:type="dxa"/>
              <w:right w:w="120" w:type="dxa"/>
            </w:tcMar>
          </w:tcPr>
          <w:p>
            <w:r>
              <w:rPr>
                <w:sz w:val="17"/>
              </w:rPr>
              <w:t>Measured height (2.12mm) meets statutory minimum of 1.0mm.</w:t>
            </w:r>
          </w:p>
        </w:tc>
      </w:tr>
      <w:tr>
        <w:trPr>
          <w:cantSplit/>
        </w:trPr>
        <w:tc>
          <w:tcPr>
            <w:tcW w:type="dxa" w:w="2880"/>
            <w:tcMar>
              <w:top w:w="90" w:type="dxa"/>
              <w:bottom w:w="90" w:type="dxa"/>
              <w:left w:w="120" w:type="dxa"/>
              <w:right w:w="120" w:type="dxa"/>
            </w:tcMar>
          </w:tcPr>
          <w:p>
            <w:r>
              <w:rPr>
                <w:sz w:val="17"/>
              </w:rPr>
              <w:t>Background Color Contrast (Rule 9(1)(b))</w:t>
            </w:r>
          </w:p>
        </w:tc>
        <w:tc>
          <w:tcPr>
            <w:tcW w:type="dxa" w:w="1728"/>
            <w:tcMar>
              <w:top w:w="90" w:type="dxa"/>
              <w:bottom w:w="90" w:type="dxa"/>
              <w:left w:w="120" w:type="dxa"/>
              <w:right w:w="120" w:type="dxa"/>
            </w:tcMar>
          </w:tcPr>
          <w:p>
            <w:r>
              <w:rPr>
                <w:sz w:val="17"/>
              </w:rPr>
              <w:t>Ratio: 2.32:1</w:t>
            </w:r>
          </w:p>
        </w:tc>
        <w:tc>
          <w:tcPr>
            <w:tcW w:type="dxa" w:w="1728"/>
            <w:tcMar>
              <w:top w:w="90" w:type="dxa"/>
              <w:bottom w:w="90" w:type="dxa"/>
              <w:left w:w="120" w:type="dxa"/>
              <w:right w:w="120" w:type="dxa"/>
            </w:tcMar>
          </w:tcPr>
          <w:p>
            <w:r>
              <w:rPr>
                <w:sz w:val="17"/>
              </w:rPr>
              <w:t>Min 3.0:1 Ratio</w:t>
            </w:r>
          </w:p>
        </w:tc>
        <w:tc>
          <w:tcPr>
            <w:tcW w:type="dxa" w:w="1296"/>
            <w:tcMar>
              <w:top w:w="90" w:type="dxa"/>
              <w:bottom w:w="90" w:type="dxa"/>
              <w:left w:w="120" w:type="dxa"/>
              <w:right w:w="120" w:type="dxa"/>
            </w:tcMar>
          </w:tcPr>
          <w:p>
            <w:r>
              <w:rPr>
                <w:b/>
                <w:color w:val="B91C1C"/>
                <w:sz w:val="17"/>
              </w:rPr>
              <w:t>FAIL</w:t>
            </w:r>
          </w:p>
        </w:tc>
        <w:tc>
          <w:tcPr>
            <w:tcW w:type="dxa" w:w="1973"/>
            <w:tcMar>
              <w:top w:w="90" w:type="dxa"/>
              <w:bottom w:w="90" w:type="dxa"/>
              <w:left w:w="120" w:type="dxa"/>
              <w:right w:w="120" w:type="dxa"/>
            </w:tcMar>
          </w:tcPr>
          <w:p>
            <w:r>
              <w:rPr>
                <w:sz w:val="17"/>
              </w:rPr>
              <w:t>VIOLATION under Rule 9(1)(b): Contrast ratio (2.32:1) is below statutory 3.0:1.</w:t>
            </w:r>
          </w:p>
        </w:tc>
      </w:tr>
    </w:tbl>
    <w:p>
      <w:pPr>
        <w:pStyle w:val="Heading2"/>
      </w:pPr>
      <w:r>
        <w:t>7. Statutory Violations &amp; Enforcement Penalties (Legal Metrology Act, 2009)</w:t>
      </w:r>
    </w:p>
    <w:p>
      <w:pPr>
        <w:pStyle w:val="ListBullet"/>
      </w:pPr>
      <w:r>
        <w:rPr>
          <w:color w:val="B91C1C"/>
          <w:sz w:val="17"/>
        </w:rPr>
        <w:t>Violation 1: Physical Verification Required for 'mfg_or_pkd_date': Batch number present, but manufacturing date is not explicitly visible on the panel.</w:t>
      </w:r>
    </w:p>
    <w:p>
      <w:pPr>
        <w:pStyle w:val="ListBullet"/>
      </w:pPr>
      <w:r>
        <w:rPr>
          <w:color w:val="B91C1C"/>
          <w:sz w:val="17"/>
        </w:rPr>
        <w:t>Violation 2: VIOLATION under Rule 9(1)(b): Contrast ratio (2.32:1) is below statutory 3.0:1.</w:t>
      </w:r>
    </w:p>
    <w:p>
      <w:pPr>
        <w:spacing w:before="240" w:after="240"/>
      </w:pPr>
      <w:r>
        <w:rPr>
          <w:b/>
          <w:color w:val="B45309"/>
          <w:sz w:val="16"/>
        </w:rPr>
        <w:t xml:space="preserve">STATUTORY NOTICE ON EVIDENTIARY BADGES: </w:t>
      </w:r>
      <w:r>
        <w:rPr>
          <w:i/>
          <w:color w:val="64748B"/>
          <w:sz w:val="16"/>
        </w:rPr>
        <w:t>Declarations marked with the amber [MANUAL EDIT] tag represent statutory parameters physically inspected, verified, and updated by the authorized enforcement officer under Section 15 of the Legal Metrology Act, 2009, superseding automated OCR extractions. Entries without this badge represent automated multimodal detections.</w:t>
      </w:r>
    </w:p>
    <w:p>
      <w:r>
        <w:br/>
      </w:r>
    </w:p>
    <w:p>
      <w:r>
        <w:rPr>
          <w:sz w:val="17"/>
        </w:rPr>
        <w:t>Sejal Sharma                 Official Seal &amp; Digital Stamp</w:t>
        <w:br/>
        <w:t>Legal Metrology Department                                  Ministry of Consumer Affairs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