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2"/>
        </w:rPr>
        <w:t>GOVERNMENT OF INDIA • MINISTRY OF CONSUMER AFFAIRS, FOOD &amp; PUBLIC DISTRIBUTION</w:t>
        <w:br/>
      </w:r>
      <w:r>
        <w:rPr>
          <w:color w:val="475569"/>
          <w:sz w:val="20"/>
        </w:rPr>
        <w:t>DEPARTMENT OF LEGAL METROLOGY — INSPECTION &amp; ENFORCEMENT DIVISION</w:t>
        <w:br/>
      </w:r>
      <w:r>
        <w:rPr>
          <w:b/>
          <w:color w:val="1E3A8A"/>
          <w:sz w:val="28"/>
        </w:rPr>
        <w:t>Packaged Commodity Compliance Inspection Report</w:t>
        <w:br/>
      </w:r>
      <w:r>
        <w:rPr>
          <w:i/>
          <w:color w:val="64748B"/>
          <w:sz w:val="17"/>
        </w:rPr>
        <w:t>Issued under Section 18 &amp; 52 of Legal Metrology Act, 2009 read with Legal Metrology (Packaged Commodities) Rules, 2011</w:t>
      </w:r>
    </w:p>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4795"/>
            <w:shd w:fill="F8FAFC"/>
            <w:tcMar>
              <w:top w:w="90" w:type="dxa"/>
              <w:bottom w:w="90" w:type="dxa"/>
              <w:left w:w="120" w:type="dxa"/>
              <w:right w:w="120" w:type="dxa"/>
            </w:tcMar>
          </w:tcPr>
          <w:p>
            <w:r>
              <w:rPr>
                <w:color w:val="334155"/>
                <w:sz w:val="18"/>
              </w:rPr>
              <w:t>Inspection ID: eeb07121-0b0e-47bc-be0c-d10433caf6f2</w:t>
            </w:r>
          </w:p>
        </w:tc>
        <w:tc>
          <w:tcPr>
            <w:tcW w:type="dxa" w:w="4810"/>
            <w:shd w:fill="F8FAFC"/>
            <w:tcMar>
              <w:top w:w="90" w:type="dxa"/>
              <w:bottom w:w="90" w:type="dxa"/>
              <w:left w:w="120" w:type="dxa"/>
              <w:right w:w="120" w:type="dxa"/>
            </w:tcMar>
          </w:tcPr>
          <w:p>
            <w:r>
              <w:rPr>
                <w:color w:val="334155"/>
                <w:sz w:val="18"/>
              </w:rPr>
              <w:t>Date &amp; Time: 20-Sep-2026 12:43 UTC</w:t>
            </w:r>
          </w:p>
        </w:tc>
      </w:tr>
      <w:tr>
        <w:trPr>
          <w:cantSplit/>
        </w:trPr>
        <w:tc>
          <w:tcPr>
            <w:tcW w:type="dxa" w:w="4795"/>
            <w:tcMar>
              <w:top w:w="90" w:type="dxa"/>
              <w:bottom w:w="90" w:type="dxa"/>
              <w:left w:w="120" w:type="dxa"/>
              <w:right w:w="120" w:type="dxa"/>
            </w:tcMar>
          </w:tcPr>
          <w:p>
            <w:r>
              <w:rPr>
                <w:color w:val="334155"/>
                <w:sz w:val="18"/>
              </w:rPr>
              <w:t>Product / Brand: Toilet Soap</w:t>
            </w:r>
          </w:p>
        </w:tc>
        <w:tc>
          <w:tcPr>
            <w:tcW w:type="dxa" w:w="4810"/>
            <w:tcMar>
              <w:top w:w="90" w:type="dxa"/>
              <w:bottom w:w="90" w:type="dxa"/>
              <w:left w:w="120" w:type="dxa"/>
              <w:right w:w="120" w:type="dxa"/>
            </w:tcMar>
          </w:tcPr>
          <w:p>
            <w:r>
              <w:rPr>
                <w:color w:val="334155"/>
                <w:sz w:val="18"/>
              </w:rPr>
              <w:t>Category: Cosmetics &amp; Toiletries</w:t>
            </w:r>
          </w:p>
        </w:tc>
      </w:tr>
      <w:tr>
        <w:trPr>
          <w:cantSplit/>
        </w:trPr>
        <w:tc>
          <w:tcPr>
            <w:tcW w:type="dxa" w:w="4795"/>
            <w:tcMar>
              <w:top w:w="90" w:type="dxa"/>
              <w:bottom w:w="90" w:type="dxa"/>
              <w:left w:w="120" w:type="dxa"/>
              <w:right w:w="120" w:type="dxa"/>
            </w:tcMar>
          </w:tcPr>
          <w:p>
            <w:r>
              <w:rPr>
                <w:color w:val="334155"/>
                <w:sz w:val="18"/>
              </w:rPr>
              <w:t>Inspecting Officer: Sejal Sharma</w:t>
            </w:r>
          </w:p>
        </w:tc>
        <w:tc>
          <w:tcPr>
            <w:tcW w:type="dxa" w:w="4810"/>
            <w:tcMar>
              <w:top w:w="90" w:type="dxa"/>
              <w:bottom w:w="90" w:type="dxa"/>
              <w:left w:w="120" w:type="dxa"/>
              <w:right w:w="120" w:type="dxa"/>
            </w:tcMar>
          </w:tcPr>
          <w:p>
            <w:r>
              <w:rPr>
                <w:color w:val="334155"/>
                <w:sz w:val="18"/>
              </w:rPr>
              <w:t>Panels Inspected: 2 Panel(s) | Scale: 85.0 mm</w:t>
            </w:r>
          </w:p>
        </w:tc>
      </w:tr>
    </w:tbl>
    <w:p/>
    <w:p>
      <w:pPr>
        <w:jc w:val="center"/>
      </w:pPr>
      <w:r>
        <w:rPr>
          <w:b/>
          <w:color w:val="15803D"/>
          <w:sz w:val="24"/>
        </w:rPr>
        <w:t>OVERALL VERDICT: COMPLIANT  |  COMPLIANCE SCORE: 100.0%</w:t>
        <w:br/>
      </w:r>
    </w:p>
    <w:p>
      <w:pPr>
        <w:pStyle w:val="Heading2"/>
      </w:pPr>
      <w:r>
        <w:t>1. Rule-by-Rule Compliance Checklist (Rules 2011)</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880"/>
            <w:shd w:fill="F1F5F9"/>
            <w:tcMar>
              <w:top w:w="90" w:type="dxa"/>
              <w:bottom w:w="90" w:type="dxa"/>
              <w:left w:w="120" w:type="dxa"/>
              <w:right w:w="120" w:type="dxa"/>
            </w:tcMar>
          </w:tcPr>
          <w:p>
            <w:r>
              <w:rPr>
                <w:b/>
                <w:color w:val="0F172A"/>
                <w:sz w:val="18"/>
              </w:rPr>
              <w:t>Rule &amp; Legal Citation</w:t>
            </w:r>
          </w:p>
        </w:tc>
        <w:tc>
          <w:tcPr>
            <w:tcW w:type="dxa" w:w="1224"/>
            <w:shd w:fill="F1F5F9"/>
            <w:tcMar>
              <w:top w:w="90" w:type="dxa"/>
              <w:bottom w:w="90" w:type="dxa"/>
              <w:left w:w="120" w:type="dxa"/>
              <w:right w:w="120" w:type="dxa"/>
            </w:tcMar>
          </w:tcPr>
          <w:p>
            <w:r>
              <w:rPr>
                <w:b/>
                <w:color w:val="0F172A"/>
                <w:sz w:val="18"/>
              </w:rPr>
              <w:t>Verdict</w:t>
            </w:r>
          </w:p>
        </w:tc>
        <w:tc>
          <w:tcPr>
            <w:tcW w:type="dxa" w:w="2592"/>
            <w:shd w:fill="F1F5F9"/>
            <w:tcMar>
              <w:top w:w="90" w:type="dxa"/>
              <w:bottom w:w="90" w:type="dxa"/>
              <w:left w:w="120" w:type="dxa"/>
              <w:right w:w="120" w:type="dxa"/>
            </w:tcMar>
          </w:tcPr>
          <w:p>
            <w:r>
              <w:rPr>
                <w:b/>
                <w:color w:val="0F172A"/>
                <w:sz w:val="18"/>
              </w:rPr>
              <w:t>Declared Text Found</w:t>
            </w:r>
          </w:p>
        </w:tc>
        <w:tc>
          <w:tcPr>
            <w:tcW w:type="dxa" w:w="2909"/>
            <w:shd w:fill="F1F5F9"/>
            <w:tcMar>
              <w:top w:w="90" w:type="dxa"/>
              <w:bottom w:w="90" w:type="dxa"/>
              <w:left w:w="120" w:type="dxa"/>
              <w:right w:w="120" w:type="dxa"/>
            </w:tcMar>
          </w:tcPr>
          <w:p>
            <w:r>
              <w:rPr>
                <w:b/>
                <w:color w:val="0F172A"/>
                <w:sz w:val="18"/>
              </w:rPr>
              <w:t>Inspector Findings</w:t>
            </w:r>
          </w:p>
        </w:tc>
      </w:tr>
      <w:tr>
        <w:trPr>
          <w:cantSplit/>
        </w:trPr>
        <w:tc>
          <w:tcPr>
            <w:tcW w:type="dxa" w:w="2880"/>
            <w:tcMar>
              <w:top w:w="90" w:type="dxa"/>
              <w:bottom w:w="90" w:type="dxa"/>
              <w:left w:w="120" w:type="dxa"/>
              <w:right w:w="120" w:type="dxa"/>
            </w:tcMar>
          </w:tcPr>
          <w:p>
            <w:r>
              <w:rPr>
                <w:sz w:val="17"/>
              </w:rPr>
              <w:t>Name &amp; Complete Address of Manufacturer / Packer</w:t>
              <w:br/>
              <w:t>(Rule 6(1)(a))</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Karnataka Soaps &amp; Detergents Limited - #27, Industrial Suburb, Bengaluru-Pune Highway, Malleshwaram (West), Bengaluru – 560 055, India</w:t>
            </w:r>
          </w:p>
        </w:tc>
        <w:tc>
          <w:tcPr>
            <w:tcW w:type="dxa" w:w="2909"/>
            <w:tcMar>
              <w:top w:w="90" w:type="dxa"/>
              <w:bottom w:w="90" w:type="dxa"/>
              <w:left w:w="120" w:type="dxa"/>
              <w:right w:w="120" w:type="dxa"/>
            </w:tcMar>
          </w:tcPr>
          <w:p>
            <w:r>
              <w:rPr>
                <w:sz w:val="17"/>
              </w:rPr>
              <w:t>Complete manufacturer name and factory address with state and pincode clearly stated on pack.</w:t>
            </w:r>
          </w:p>
        </w:tc>
      </w:tr>
      <w:tr>
        <w:trPr>
          <w:cantSplit/>
        </w:trPr>
        <w:tc>
          <w:tcPr>
            <w:tcW w:type="dxa" w:w="2880"/>
            <w:tcMar>
              <w:top w:w="90" w:type="dxa"/>
              <w:bottom w:w="90" w:type="dxa"/>
              <w:left w:w="120" w:type="dxa"/>
              <w:right w:w="120" w:type="dxa"/>
            </w:tcMar>
          </w:tcPr>
          <w:p>
            <w:r>
              <w:rPr>
                <w:sz w:val="17"/>
              </w:rPr>
              <w:t>Generic or Common Name of Commodity</w:t>
              <w:br/>
              <w:t>(Rule 6(1)(b))</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Toilet Soap</w:t>
            </w:r>
          </w:p>
        </w:tc>
        <w:tc>
          <w:tcPr>
            <w:tcW w:type="dxa" w:w="2909"/>
            <w:tcMar>
              <w:top w:w="90" w:type="dxa"/>
              <w:bottom w:w="90" w:type="dxa"/>
              <w:left w:w="120" w:type="dxa"/>
              <w:right w:w="120" w:type="dxa"/>
            </w:tcMar>
          </w:tcPr>
          <w:p>
            <w:r>
              <w:rPr>
                <w:sz w:val="17"/>
              </w:rPr>
              <w:t>Generic commodity name 'Toilet Soap' is prominently declared.</w:t>
            </w:r>
          </w:p>
        </w:tc>
      </w:tr>
      <w:tr>
        <w:trPr>
          <w:cantSplit/>
        </w:trPr>
        <w:tc>
          <w:tcPr>
            <w:tcW w:type="dxa" w:w="2880"/>
            <w:tcMar>
              <w:top w:w="90" w:type="dxa"/>
              <w:bottom w:w="90" w:type="dxa"/>
              <w:left w:w="120" w:type="dxa"/>
              <w:right w:w="120" w:type="dxa"/>
            </w:tcMar>
          </w:tcPr>
          <w:p>
            <w:r>
              <w:rPr>
                <w:sz w:val="17"/>
              </w:rPr>
              <w:t>Net Quantity &amp; Standard SI Units Audit</w:t>
              <w:br/>
              <w:t>(Rule 6(1)(c) &amp; Rule 13)</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75g</w:t>
            </w:r>
          </w:p>
        </w:tc>
        <w:tc>
          <w:tcPr>
            <w:tcW w:type="dxa" w:w="2909"/>
            <w:tcMar>
              <w:top w:w="90" w:type="dxa"/>
              <w:bottom w:w="90" w:type="dxa"/>
              <w:left w:w="120" w:type="dxa"/>
              <w:right w:w="120" w:type="dxa"/>
            </w:tcMar>
          </w:tcPr>
          <w:p>
            <w:r>
              <w:rPr>
                <w:sz w:val="17"/>
              </w:rPr>
              <w:t>Net weight declared using valid SI unit 'g' for quantity under 1 kg.</w:t>
            </w:r>
          </w:p>
        </w:tc>
      </w:tr>
      <w:tr>
        <w:trPr>
          <w:cantSplit/>
        </w:trPr>
        <w:tc>
          <w:tcPr>
            <w:tcW w:type="dxa" w:w="2880"/>
            <w:tcMar>
              <w:top w:w="90" w:type="dxa"/>
              <w:bottom w:w="90" w:type="dxa"/>
              <w:left w:w="120" w:type="dxa"/>
              <w:right w:w="120" w:type="dxa"/>
            </w:tcMar>
          </w:tcPr>
          <w:p>
            <w:r>
              <w:rPr>
                <w:sz w:val="17"/>
              </w:rPr>
              <w:t>Month &amp; Year of Manufacture / Packing / Import</w:t>
              <w:br/>
              <w:t>(Rule 6(1)(d))</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September 2025</w:t>
            </w:r>
          </w:p>
        </w:tc>
        <w:tc>
          <w:tcPr>
            <w:tcW w:type="dxa" w:w="2909"/>
            <w:tcMar>
              <w:top w:w="90" w:type="dxa"/>
              <w:bottom w:w="90" w:type="dxa"/>
              <w:left w:w="120" w:type="dxa"/>
              <w:right w:w="120" w:type="dxa"/>
            </w:tcMar>
          </w:tcPr>
          <w:p>
            <w:r>
              <w:rPr>
                <w:sz w:val="17"/>
              </w:rPr>
              <w:t>Month and year of manufacture declared in association with symbol '#'.</w:t>
            </w:r>
          </w:p>
        </w:tc>
      </w:tr>
      <w:tr>
        <w:trPr>
          <w:cantSplit/>
        </w:trPr>
        <w:tc>
          <w:tcPr>
            <w:tcW w:type="dxa" w:w="2880"/>
            <w:tcMar>
              <w:top w:w="90" w:type="dxa"/>
              <w:bottom w:w="90" w:type="dxa"/>
              <w:left w:w="120" w:type="dxa"/>
              <w:right w:w="120" w:type="dxa"/>
            </w:tcMar>
          </w:tcPr>
          <w:p>
            <w:r>
              <w:rPr>
                <w:sz w:val="17"/>
              </w:rPr>
              <w:t>Maximum Retail Price (Inclusive of all taxes)</w:t>
              <w:br/>
              <w:t>(Rule 6(1)(e))</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 38/- (Incl., of all taxes)</w:t>
            </w:r>
          </w:p>
        </w:tc>
        <w:tc>
          <w:tcPr>
            <w:tcW w:type="dxa" w:w="2909"/>
            <w:tcMar>
              <w:top w:w="90" w:type="dxa"/>
              <w:bottom w:w="90" w:type="dxa"/>
              <w:left w:w="120" w:type="dxa"/>
              <w:right w:w="120" w:type="dxa"/>
            </w:tcMar>
          </w:tcPr>
          <w:p>
            <w:r>
              <w:rPr>
                <w:sz w:val="17"/>
              </w:rPr>
              <w:t>MRP declared inclusive of all taxes.</w:t>
            </w:r>
          </w:p>
        </w:tc>
      </w:tr>
      <w:tr>
        <w:trPr>
          <w:cantSplit/>
        </w:trPr>
        <w:tc>
          <w:tcPr>
            <w:tcW w:type="dxa" w:w="2880"/>
            <w:tcMar>
              <w:top w:w="90" w:type="dxa"/>
              <w:bottom w:w="90" w:type="dxa"/>
              <w:left w:w="120" w:type="dxa"/>
              <w:right w:w="120" w:type="dxa"/>
            </w:tcMar>
          </w:tcPr>
          <w:p>
            <w:r>
              <w:rPr>
                <w:sz w:val="17"/>
              </w:rPr>
              <w:t>Unit Sale Price (USP) Mathematical Cross-Verification</w:t>
              <w:br/>
              <w:t>(Rule 6(1)(e) Second Proviso)</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 0.51 per g</w:t>
            </w:r>
          </w:p>
        </w:tc>
        <w:tc>
          <w:tcPr>
            <w:tcW w:type="dxa" w:w="2909"/>
            <w:tcMar>
              <w:top w:w="90" w:type="dxa"/>
              <w:bottom w:w="90" w:type="dxa"/>
              <w:left w:w="120" w:type="dxa"/>
              <w:right w:w="120" w:type="dxa"/>
            </w:tcMar>
          </w:tcPr>
          <w:p>
            <w:r>
              <w:rPr>
                <w:sz w:val="17"/>
              </w:rPr>
              <w:t>Unit Sale Price verified: Declared '₹ 0.51 per g' matches calculated Rs per g (Rs. 0.51).</w:t>
            </w:r>
          </w:p>
        </w:tc>
      </w:tr>
      <w:tr>
        <w:trPr>
          <w:cantSplit/>
        </w:trPr>
        <w:tc>
          <w:tcPr>
            <w:tcW w:type="dxa" w:w="2880"/>
            <w:tcMar>
              <w:top w:w="90" w:type="dxa"/>
              <w:bottom w:w="90" w:type="dxa"/>
              <w:left w:w="120" w:type="dxa"/>
              <w:right w:w="120" w:type="dxa"/>
            </w:tcMar>
          </w:tcPr>
          <w:p>
            <w:r>
              <w:rPr>
                <w:sz w:val="17"/>
              </w:rPr>
              <w:t>Consumer Care Helpline, Email &amp; Physical Address</w:t>
              <w:br/>
              <w:t>(Rule 6(1)(f))</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PRO at Karnataka Soaps &amp; Detergents Limited, #27, Industrial Suburb, Bengaluru-Pune Highway, Malleshwaram (West), Bengaluru – 560 055, India. Toll free: 1800 425 1103, Email: promysoresandal@gmail.com, Website: www.mysoresandal.org</w:t>
            </w:r>
          </w:p>
        </w:tc>
        <w:tc>
          <w:tcPr>
            <w:tcW w:type="dxa" w:w="2909"/>
            <w:tcMar>
              <w:top w:w="90" w:type="dxa"/>
              <w:bottom w:w="90" w:type="dxa"/>
              <w:left w:w="120" w:type="dxa"/>
              <w:right w:w="120" w:type="dxa"/>
            </w:tcMar>
          </w:tcPr>
          <w:p>
            <w:r>
              <w:rPr>
                <w:sz w:val="17"/>
              </w:rPr>
              <w:t>Full consumer care contact details including designation, physical address, toll-free number, and email are declared.</w:t>
            </w:r>
          </w:p>
        </w:tc>
      </w:tr>
      <w:tr>
        <w:trPr>
          <w:cantSplit/>
        </w:trPr>
        <w:tc>
          <w:tcPr>
            <w:tcW w:type="dxa" w:w="2880"/>
            <w:tcMar>
              <w:top w:w="90" w:type="dxa"/>
              <w:bottom w:w="90" w:type="dxa"/>
              <w:left w:w="120" w:type="dxa"/>
              <w:right w:w="120" w:type="dxa"/>
            </w:tcMar>
          </w:tcPr>
          <w:p>
            <w:r>
              <w:rPr>
                <w:sz w:val="17"/>
              </w:rPr>
              <w:t>Country of Origin for Domestic or Imported Goods</w:t>
              <w:br/>
              <w:t>(Rule 6(1)(g))</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India</w:t>
            </w:r>
          </w:p>
        </w:tc>
        <w:tc>
          <w:tcPr>
            <w:tcW w:type="dxa" w:w="2909"/>
            <w:tcMar>
              <w:top w:w="90" w:type="dxa"/>
              <w:bottom w:w="90" w:type="dxa"/>
              <w:left w:w="120" w:type="dxa"/>
              <w:right w:w="120" w:type="dxa"/>
            </w:tcMar>
          </w:tcPr>
          <w:p>
            <w:r>
              <w:rPr>
                <w:sz w:val="17"/>
              </w:rPr>
              <w:t>Country of origin explicitly declared as India in the manufacturer address.</w:t>
            </w:r>
          </w:p>
        </w:tc>
      </w:tr>
      <w:tr>
        <w:trPr>
          <w:cantSplit/>
        </w:trPr>
        <w:tc>
          <w:tcPr>
            <w:tcW w:type="dxa" w:w="2880"/>
            <w:tcMar>
              <w:top w:w="90" w:type="dxa"/>
              <w:bottom w:w="90" w:type="dxa"/>
              <w:left w:w="120" w:type="dxa"/>
              <w:right w:w="120" w:type="dxa"/>
            </w:tcMar>
          </w:tcPr>
          <w:p>
            <w:r>
              <w:rPr>
                <w:sz w:val="17"/>
              </w:rPr>
              <w:t>Second Schedule Prescribed Pack Sizes (Anti-Shrinkflation)</w:t>
              <w:br/>
              <w:t>(Rule 5 &amp; Second Schedule)</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75.0 g (Category: Soaps (Toilet &amp; Laundry))</w:t>
            </w:r>
          </w:p>
        </w:tc>
        <w:tc>
          <w:tcPr>
            <w:tcW w:type="dxa" w:w="2909"/>
            <w:tcMar>
              <w:top w:w="90" w:type="dxa"/>
              <w:bottom w:w="90" w:type="dxa"/>
              <w:left w:w="120" w:type="dxa"/>
              <w:right w:w="120" w:type="dxa"/>
            </w:tcMar>
          </w:tcPr>
          <w:p>
            <w:r>
              <w:rPr>
                <w:sz w:val="17"/>
              </w:rPr>
              <w:t>Pack size conforms strictly to prescribed Second Schedule standard quantities for 'Soaps (Toilet &amp; Laundry)'.</w:t>
            </w:r>
          </w:p>
        </w:tc>
      </w:tr>
      <w:tr>
        <w:trPr>
          <w:cantSplit/>
        </w:trPr>
        <w:tc>
          <w:tcPr>
            <w:tcW w:type="dxa" w:w="2880"/>
            <w:tcMar>
              <w:top w:w="90" w:type="dxa"/>
              <w:bottom w:w="90" w:type="dxa"/>
              <w:left w:w="120" w:type="dxa"/>
              <w:right w:w="120" w:type="dxa"/>
            </w:tcMar>
          </w:tcPr>
          <w:p>
            <w:r>
              <w:rPr>
                <w:sz w:val="17"/>
              </w:rPr>
              <w:t>Statutory Minimum Numeral Height Table-I</w:t>
              <w:br/>
              <w:t>(Rule 7(2) read with Table-I)</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2.09 mm (Min: 1.0 mm)</w:t>
            </w:r>
          </w:p>
        </w:tc>
        <w:tc>
          <w:tcPr>
            <w:tcW w:type="dxa" w:w="2909"/>
            <w:tcMar>
              <w:top w:w="90" w:type="dxa"/>
              <w:bottom w:w="90" w:type="dxa"/>
              <w:left w:w="120" w:type="dxa"/>
              <w:right w:w="120" w:type="dxa"/>
            </w:tcMar>
          </w:tcPr>
          <w:p>
            <w:r>
              <w:rPr>
                <w:sz w:val="17"/>
              </w:rPr>
              <w:t>Measured height (2.09mm) meets statutory minimum of 1.0mm.</w:t>
            </w:r>
          </w:p>
        </w:tc>
      </w:tr>
      <w:tr>
        <w:trPr>
          <w:cantSplit/>
        </w:trPr>
        <w:tc>
          <w:tcPr>
            <w:tcW w:type="dxa" w:w="2880"/>
            <w:tcMar>
              <w:top w:w="90" w:type="dxa"/>
              <w:bottom w:w="90" w:type="dxa"/>
              <w:left w:w="120" w:type="dxa"/>
              <w:right w:w="120" w:type="dxa"/>
            </w:tcMar>
          </w:tcPr>
          <w:p>
            <w:r>
              <w:rPr>
                <w:sz w:val="17"/>
              </w:rPr>
              <w:t>Conspicuous Background Color Contrast</w:t>
              <w:br/>
              <w:t>(Rule 9(1)(b))</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Ratio: 4.09:1</w:t>
            </w:r>
          </w:p>
        </w:tc>
        <w:tc>
          <w:tcPr>
            <w:tcW w:type="dxa" w:w="2909"/>
            <w:tcMar>
              <w:top w:w="90" w:type="dxa"/>
              <w:bottom w:w="90" w:type="dxa"/>
              <w:left w:w="120" w:type="dxa"/>
              <w:right w:w="120" w:type="dxa"/>
            </w:tcMar>
          </w:tcPr>
          <w:p>
            <w:r>
              <w:rPr>
                <w:sz w:val="17"/>
              </w:rPr>
              <w:t>Conspicuous contrast verified (4.09:1 against statutory minimum 3.0:1).</w:t>
            </w:r>
          </w:p>
        </w:tc>
      </w:tr>
    </w:tbl>
    <w:p/>
    <w:p>
      <w:pPr>
        <w:pStyle w:val="Heading2"/>
      </w:pPr>
      <w:r>
        <w:t>2. Extracted Mandatory Declarations (Table 1.0 - Auditable Evidence)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2592"/>
            <w:shd w:fill="F1F5F9"/>
            <w:tcMar>
              <w:top w:w="90" w:type="dxa"/>
              <w:bottom w:w="90" w:type="dxa"/>
              <w:left w:w="120" w:type="dxa"/>
              <w:right w:w="120" w:type="dxa"/>
            </w:tcMar>
          </w:tcPr>
          <w:p>
            <w:r>
              <w:rPr>
                <w:b/>
                <w:color w:val="0F172A"/>
                <w:sz w:val="18"/>
              </w:rPr>
              <w:t>Declaration Field</w:t>
            </w:r>
          </w:p>
        </w:tc>
        <w:tc>
          <w:tcPr>
            <w:tcW w:type="dxa" w:w="2448"/>
            <w:shd w:fill="F1F5F9"/>
            <w:tcMar>
              <w:top w:w="90" w:type="dxa"/>
              <w:bottom w:w="90" w:type="dxa"/>
              <w:left w:w="120" w:type="dxa"/>
              <w:right w:w="120" w:type="dxa"/>
            </w:tcMar>
          </w:tcPr>
          <w:p>
            <w:r>
              <w:rPr>
                <w:b/>
                <w:color w:val="0F172A"/>
                <w:sz w:val="18"/>
              </w:rPr>
              <w:t>Declared Value Found</w:t>
            </w:r>
          </w:p>
        </w:tc>
        <w:tc>
          <w:tcPr>
            <w:tcW w:type="dxa" w:w="1080"/>
            <w:shd w:fill="F1F5F9"/>
            <w:tcMar>
              <w:top w:w="90" w:type="dxa"/>
              <w:bottom w:w="90" w:type="dxa"/>
              <w:left w:w="120" w:type="dxa"/>
              <w:right w:w="120" w:type="dxa"/>
            </w:tcMar>
          </w:tcPr>
          <w:p>
            <w:r>
              <w:rPr>
                <w:b/>
                <w:color w:val="0F172A"/>
                <w:sz w:val="18"/>
              </w:rPr>
              <w:t>Status</w:t>
            </w:r>
          </w:p>
        </w:tc>
        <w:tc>
          <w:tcPr>
            <w:tcW w:type="dxa" w:w="1008"/>
            <w:shd w:fill="F1F5F9"/>
            <w:tcMar>
              <w:top w:w="90" w:type="dxa"/>
              <w:bottom w:w="90" w:type="dxa"/>
              <w:left w:w="120" w:type="dxa"/>
              <w:right w:w="120" w:type="dxa"/>
            </w:tcMar>
          </w:tcPr>
          <w:p>
            <w:r>
              <w:rPr>
                <w:b/>
                <w:color w:val="0F172A"/>
                <w:sz w:val="18"/>
              </w:rPr>
              <w:t>Confidence</w:t>
            </w:r>
          </w:p>
        </w:tc>
        <w:tc>
          <w:tcPr>
            <w:tcW w:type="dxa" w:w="2477"/>
            <w:shd w:fill="F1F5F9"/>
            <w:tcMar>
              <w:top w:w="90" w:type="dxa"/>
              <w:bottom w:w="90" w:type="dxa"/>
              <w:left w:w="120" w:type="dxa"/>
              <w:right w:w="120" w:type="dxa"/>
            </w:tcMar>
          </w:tcPr>
          <w:p>
            <w:r>
              <w:rPr>
                <w:b/>
                <w:color w:val="0F172A"/>
                <w:sz w:val="18"/>
              </w:rPr>
              <w:t>Statutory Audit Remarks</w:t>
            </w:r>
          </w:p>
        </w:tc>
      </w:tr>
      <w:tr>
        <w:trPr>
          <w:cantSplit/>
        </w:trPr>
        <w:tc>
          <w:tcPr>
            <w:tcW w:type="dxa" w:w="2592"/>
            <w:tcMar>
              <w:top w:w="90" w:type="dxa"/>
              <w:bottom w:w="90" w:type="dxa"/>
              <w:left w:w="120" w:type="dxa"/>
              <w:right w:w="120" w:type="dxa"/>
            </w:tcMar>
          </w:tcPr>
          <w:p>
            <w:r>
              <w:rPr>
                <w:sz w:val="17"/>
              </w:rPr>
              <w:t>Product / Brand Name</w:t>
            </w:r>
          </w:p>
        </w:tc>
        <w:tc>
          <w:tcPr>
            <w:tcW w:type="dxa" w:w="2448"/>
            <w:tcMar>
              <w:top w:w="90" w:type="dxa"/>
              <w:bottom w:w="90" w:type="dxa"/>
              <w:left w:w="120" w:type="dxa"/>
              <w:right w:w="120" w:type="dxa"/>
            </w:tcMar>
          </w:tcPr>
          <w:p>
            <w:r>
              <w:rPr>
                <w:sz w:val="17"/>
              </w:rPr>
              <w:t>Mysore Sandal Soap</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Identified from principal display panel.</w:t>
            </w:r>
          </w:p>
        </w:tc>
      </w:tr>
      <w:tr>
        <w:trPr>
          <w:cantSplit/>
        </w:trPr>
        <w:tc>
          <w:tcPr>
            <w:tcW w:type="dxa" w:w="2592"/>
            <w:tcMar>
              <w:top w:w="90" w:type="dxa"/>
              <w:bottom w:w="90" w:type="dxa"/>
              <w:left w:w="120" w:type="dxa"/>
              <w:right w:w="120" w:type="dxa"/>
            </w:tcMar>
          </w:tcPr>
          <w:p>
            <w:r>
              <w:rPr>
                <w:sz w:val="17"/>
              </w:rPr>
              <w:t>Common / Generic Commodity Name (Rule 6(1)(b))</w:t>
            </w:r>
          </w:p>
        </w:tc>
        <w:tc>
          <w:tcPr>
            <w:tcW w:type="dxa" w:w="2448"/>
            <w:tcMar>
              <w:top w:w="90" w:type="dxa"/>
              <w:bottom w:w="90" w:type="dxa"/>
              <w:left w:w="120" w:type="dxa"/>
              <w:right w:w="120" w:type="dxa"/>
            </w:tcMar>
          </w:tcPr>
          <w:p>
            <w:r>
              <w:rPr>
                <w:sz w:val="17"/>
              </w:rPr>
              <w:t>Toilet Soap</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98%</w:t>
            </w:r>
          </w:p>
        </w:tc>
        <w:tc>
          <w:tcPr>
            <w:tcW w:type="dxa" w:w="2477"/>
            <w:tcMar>
              <w:top w:w="90" w:type="dxa"/>
              <w:bottom w:w="90" w:type="dxa"/>
              <w:left w:w="120" w:type="dxa"/>
              <w:right w:w="120" w:type="dxa"/>
            </w:tcMar>
          </w:tcPr>
          <w:p>
            <w:r>
              <w:rPr>
                <w:sz w:val="17"/>
              </w:rPr>
              <w:t>Generic commodity name 'Toilet Soap' is prominently declared.</w:t>
            </w:r>
          </w:p>
        </w:tc>
      </w:tr>
      <w:tr>
        <w:trPr>
          <w:cantSplit/>
        </w:trPr>
        <w:tc>
          <w:tcPr>
            <w:tcW w:type="dxa" w:w="2592"/>
            <w:tcMar>
              <w:top w:w="90" w:type="dxa"/>
              <w:bottom w:w="90" w:type="dxa"/>
              <w:left w:w="120" w:type="dxa"/>
              <w:right w:w="120" w:type="dxa"/>
            </w:tcMar>
          </w:tcPr>
          <w:p>
            <w:r>
              <w:rPr>
                <w:sz w:val="17"/>
              </w:rPr>
              <w:t>Manufacturer / Packer Legal Name (Rule 6(1)(a))</w:t>
            </w:r>
          </w:p>
        </w:tc>
        <w:tc>
          <w:tcPr>
            <w:tcW w:type="dxa" w:w="2448"/>
            <w:tcMar>
              <w:top w:w="90" w:type="dxa"/>
              <w:bottom w:w="90" w:type="dxa"/>
              <w:left w:w="120" w:type="dxa"/>
              <w:right w:w="120" w:type="dxa"/>
            </w:tcMar>
          </w:tcPr>
          <w:p>
            <w:r>
              <w:rPr>
                <w:sz w:val="17"/>
              </w:rPr>
              <w:t>Karnataka Soaps &amp; Detergents Limited</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Complete manufacturer name and factory address with state and pincode clearly stated on pack.</w:t>
            </w:r>
          </w:p>
        </w:tc>
      </w:tr>
      <w:tr>
        <w:trPr>
          <w:cantSplit/>
        </w:trPr>
        <w:tc>
          <w:tcPr>
            <w:tcW w:type="dxa" w:w="2592"/>
            <w:tcMar>
              <w:top w:w="90" w:type="dxa"/>
              <w:bottom w:w="90" w:type="dxa"/>
              <w:left w:w="120" w:type="dxa"/>
              <w:right w:w="120" w:type="dxa"/>
            </w:tcMar>
          </w:tcPr>
          <w:p>
            <w:r>
              <w:rPr>
                <w:sz w:val="17"/>
              </w:rPr>
              <w:t>Complete Physical Factory Address (Rule 6(1)(a))</w:t>
            </w:r>
          </w:p>
        </w:tc>
        <w:tc>
          <w:tcPr>
            <w:tcW w:type="dxa" w:w="2448"/>
            <w:tcMar>
              <w:top w:w="90" w:type="dxa"/>
              <w:bottom w:w="90" w:type="dxa"/>
              <w:left w:w="120" w:type="dxa"/>
              <w:right w:w="120" w:type="dxa"/>
            </w:tcMar>
          </w:tcPr>
          <w:p>
            <w:r>
              <w:rPr>
                <w:sz w:val="17"/>
              </w:rPr>
              <w:t>#27, Industrial Suburb, Bengaluru-Pune Highway, Malleshwaram (West), Bengaluru – 560 055, India</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Complete manufacturer name and factory address with state and pincode clearly stated on pack.</w:t>
            </w:r>
          </w:p>
        </w:tc>
      </w:tr>
      <w:tr>
        <w:trPr>
          <w:cantSplit/>
        </w:trPr>
        <w:tc>
          <w:tcPr>
            <w:tcW w:type="dxa" w:w="2592"/>
            <w:tcMar>
              <w:top w:w="90" w:type="dxa"/>
              <w:bottom w:w="90" w:type="dxa"/>
              <w:left w:w="120" w:type="dxa"/>
              <w:right w:w="120" w:type="dxa"/>
            </w:tcMar>
          </w:tcPr>
          <w:p>
            <w:r>
              <w:rPr>
                <w:sz w:val="17"/>
              </w:rPr>
              <w:t>Net Quantity &amp; Standard SI Units (Rule 6(1)(c) &amp; Rule 13)</w:t>
            </w:r>
          </w:p>
        </w:tc>
        <w:tc>
          <w:tcPr>
            <w:tcW w:type="dxa" w:w="2448"/>
            <w:tcMar>
              <w:top w:w="90" w:type="dxa"/>
              <w:bottom w:w="90" w:type="dxa"/>
              <w:left w:w="120" w:type="dxa"/>
              <w:right w:w="120" w:type="dxa"/>
            </w:tcMar>
          </w:tcPr>
          <w:p>
            <w:r>
              <w:rPr>
                <w:sz w:val="17"/>
              </w:rPr>
              <w:t>75g</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98%</w:t>
            </w:r>
          </w:p>
        </w:tc>
        <w:tc>
          <w:tcPr>
            <w:tcW w:type="dxa" w:w="2477"/>
            <w:tcMar>
              <w:top w:w="90" w:type="dxa"/>
              <w:bottom w:w="90" w:type="dxa"/>
              <w:left w:w="120" w:type="dxa"/>
              <w:right w:w="120" w:type="dxa"/>
            </w:tcMar>
          </w:tcPr>
          <w:p>
            <w:r>
              <w:rPr>
                <w:sz w:val="17"/>
              </w:rPr>
              <w:t>Net weight declared using valid SI unit 'g' for quantity under 1 kg.</w:t>
            </w:r>
          </w:p>
        </w:tc>
      </w:tr>
      <w:tr>
        <w:trPr>
          <w:cantSplit/>
        </w:trPr>
        <w:tc>
          <w:tcPr>
            <w:tcW w:type="dxa" w:w="2592"/>
            <w:tcMar>
              <w:top w:w="90" w:type="dxa"/>
              <w:bottom w:w="90" w:type="dxa"/>
              <w:left w:w="120" w:type="dxa"/>
              <w:right w:w="120" w:type="dxa"/>
            </w:tcMar>
          </w:tcPr>
          <w:p>
            <w:r>
              <w:rPr>
                <w:sz w:val="17"/>
              </w:rPr>
              <w:t>Maximum Retail Price [MRP] (Rule 6(1)(e))</w:t>
            </w:r>
          </w:p>
        </w:tc>
        <w:tc>
          <w:tcPr>
            <w:tcW w:type="dxa" w:w="2448"/>
            <w:tcMar>
              <w:top w:w="90" w:type="dxa"/>
              <w:bottom w:w="90" w:type="dxa"/>
              <w:left w:w="120" w:type="dxa"/>
              <w:right w:w="120" w:type="dxa"/>
            </w:tcMar>
          </w:tcPr>
          <w:p>
            <w:r>
              <w:rPr>
                <w:sz w:val="17"/>
              </w:rPr>
              <w:t>₹ 38/- (Incl., of all taxes)</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98%</w:t>
            </w:r>
          </w:p>
        </w:tc>
        <w:tc>
          <w:tcPr>
            <w:tcW w:type="dxa" w:w="2477"/>
            <w:tcMar>
              <w:top w:w="90" w:type="dxa"/>
              <w:bottom w:w="90" w:type="dxa"/>
              <w:left w:w="120" w:type="dxa"/>
              <w:right w:w="120" w:type="dxa"/>
            </w:tcMar>
          </w:tcPr>
          <w:p>
            <w:r>
              <w:rPr>
                <w:sz w:val="17"/>
              </w:rPr>
              <w:t>MRP declared inclusive of all taxes.</w:t>
            </w:r>
          </w:p>
        </w:tc>
      </w:tr>
      <w:tr>
        <w:trPr>
          <w:cantSplit/>
        </w:trPr>
        <w:tc>
          <w:tcPr>
            <w:tcW w:type="dxa" w:w="2592"/>
            <w:tcMar>
              <w:top w:w="90" w:type="dxa"/>
              <w:bottom w:w="90" w:type="dxa"/>
              <w:left w:w="120" w:type="dxa"/>
              <w:right w:w="120" w:type="dxa"/>
            </w:tcMar>
          </w:tcPr>
          <w:p>
            <w:r>
              <w:rPr>
                <w:sz w:val="17"/>
              </w:rPr>
              <w:t>Unit Sale Price [USP] (Rule 6(1)(e) Amendment)</w:t>
            </w:r>
          </w:p>
        </w:tc>
        <w:tc>
          <w:tcPr>
            <w:tcW w:type="dxa" w:w="2448"/>
            <w:tcMar>
              <w:top w:w="90" w:type="dxa"/>
              <w:bottom w:w="90" w:type="dxa"/>
              <w:left w:w="120" w:type="dxa"/>
              <w:right w:w="120" w:type="dxa"/>
            </w:tcMar>
          </w:tcPr>
          <w:p>
            <w:r>
              <w:rPr>
                <w:sz w:val="17"/>
              </w:rPr>
              <w:t>₹ 0.51 per g</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98%</w:t>
            </w:r>
          </w:p>
        </w:tc>
        <w:tc>
          <w:tcPr>
            <w:tcW w:type="dxa" w:w="2477"/>
            <w:tcMar>
              <w:top w:w="90" w:type="dxa"/>
              <w:bottom w:w="90" w:type="dxa"/>
              <w:left w:w="120" w:type="dxa"/>
              <w:right w:w="120" w:type="dxa"/>
            </w:tcMar>
          </w:tcPr>
          <w:p>
            <w:r>
              <w:rPr>
                <w:sz w:val="17"/>
              </w:rPr>
              <w:t>Unit Sale Price verified: Declared '₹ 0.51 per g' matches calculated Rs per g (Rs. 0.51).</w:t>
            </w:r>
          </w:p>
        </w:tc>
      </w:tr>
      <w:tr>
        <w:trPr>
          <w:cantSplit/>
        </w:trPr>
        <w:tc>
          <w:tcPr>
            <w:tcW w:type="dxa" w:w="2592"/>
            <w:tcMar>
              <w:top w:w="90" w:type="dxa"/>
              <w:bottom w:w="90" w:type="dxa"/>
              <w:left w:w="120" w:type="dxa"/>
              <w:right w:w="120" w:type="dxa"/>
            </w:tcMar>
          </w:tcPr>
          <w:p>
            <w:r>
              <w:rPr>
                <w:sz w:val="17"/>
              </w:rPr>
              <w:t>Month &amp; Year of Manufacture / Packing (Rule 6(1)(d))</w:t>
            </w:r>
          </w:p>
        </w:tc>
        <w:tc>
          <w:tcPr>
            <w:tcW w:type="dxa" w:w="2448"/>
            <w:tcMar>
              <w:top w:w="90" w:type="dxa"/>
              <w:bottom w:w="90" w:type="dxa"/>
              <w:left w:w="120" w:type="dxa"/>
              <w:right w:w="120" w:type="dxa"/>
            </w:tcMar>
          </w:tcPr>
          <w:p>
            <w:r>
              <w:rPr>
                <w:sz w:val="17"/>
              </w:rPr>
              <w:t>September 2025</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Month and year of manufacture declared in association with symbol '#'.</w:t>
            </w:r>
          </w:p>
        </w:tc>
      </w:tr>
      <w:tr>
        <w:trPr>
          <w:cantSplit/>
        </w:trPr>
        <w:tc>
          <w:tcPr>
            <w:tcW w:type="dxa" w:w="2592"/>
            <w:tcMar>
              <w:top w:w="90" w:type="dxa"/>
              <w:bottom w:w="90" w:type="dxa"/>
              <w:left w:w="120" w:type="dxa"/>
              <w:right w:w="120" w:type="dxa"/>
            </w:tcMar>
          </w:tcPr>
          <w:p>
            <w:r>
              <w:rPr>
                <w:sz w:val="17"/>
              </w:rPr>
              <w:t>Consumer Care Contact Details (Rule 6(1)(f))</w:t>
            </w:r>
          </w:p>
        </w:tc>
        <w:tc>
          <w:tcPr>
            <w:tcW w:type="dxa" w:w="2448"/>
            <w:tcMar>
              <w:top w:w="90" w:type="dxa"/>
              <w:bottom w:w="90" w:type="dxa"/>
              <w:left w:w="120" w:type="dxa"/>
              <w:right w:w="120" w:type="dxa"/>
            </w:tcMar>
          </w:tcPr>
          <w:p>
            <w:r>
              <w:rPr>
                <w:sz w:val="17"/>
              </w:rPr>
              <w:t>PRO at Karnataka Soaps &amp; Detergents Limited, #27, Industrial Suburb, Bengaluru-Pune Highway, Malleshwaram (West), Bengaluru – 560 055, India. Toll free: 1800 425 1103, Email: promysoresandal@gmail.com, Website: www.mysoresandal.org</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98%</w:t>
            </w:r>
          </w:p>
        </w:tc>
        <w:tc>
          <w:tcPr>
            <w:tcW w:type="dxa" w:w="2477"/>
            <w:tcMar>
              <w:top w:w="90" w:type="dxa"/>
              <w:bottom w:w="90" w:type="dxa"/>
              <w:left w:w="120" w:type="dxa"/>
              <w:right w:w="120" w:type="dxa"/>
            </w:tcMar>
          </w:tcPr>
          <w:p>
            <w:r>
              <w:rPr>
                <w:sz w:val="17"/>
              </w:rPr>
              <w:t>Full consumer care contact details including designation, physical address, toll-free number, and email are declared.</w:t>
            </w:r>
          </w:p>
        </w:tc>
      </w:tr>
      <w:tr>
        <w:trPr>
          <w:cantSplit/>
        </w:trPr>
        <w:tc>
          <w:tcPr>
            <w:tcW w:type="dxa" w:w="2592"/>
            <w:tcMar>
              <w:top w:w="90" w:type="dxa"/>
              <w:bottom w:w="90" w:type="dxa"/>
              <w:left w:w="120" w:type="dxa"/>
              <w:right w:w="120" w:type="dxa"/>
            </w:tcMar>
          </w:tcPr>
          <w:p>
            <w:r>
              <w:rPr>
                <w:sz w:val="17"/>
              </w:rPr>
              <w:t>Country of Origin Declaration (Rule 6(1)(g))</w:t>
            </w:r>
          </w:p>
        </w:tc>
        <w:tc>
          <w:tcPr>
            <w:tcW w:type="dxa" w:w="2448"/>
            <w:tcMar>
              <w:top w:w="90" w:type="dxa"/>
              <w:bottom w:w="90" w:type="dxa"/>
              <w:left w:w="120" w:type="dxa"/>
              <w:right w:w="120" w:type="dxa"/>
            </w:tcMar>
          </w:tcPr>
          <w:p>
            <w:r>
              <w:rPr>
                <w:sz w:val="17"/>
              </w:rPr>
              <w:t>India</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98%</w:t>
            </w:r>
          </w:p>
        </w:tc>
        <w:tc>
          <w:tcPr>
            <w:tcW w:type="dxa" w:w="2477"/>
            <w:tcMar>
              <w:top w:w="90" w:type="dxa"/>
              <w:bottom w:w="90" w:type="dxa"/>
              <w:left w:w="120" w:type="dxa"/>
              <w:right w:w="120" w:type="dxa"/>
            </w:tcMar>
          </w:tcPr>
          <w:p>
            <w:r>
              <w:rPr>
                <w:sz w:val="17"/>
              </w:rPr>
              <w:t>Country of origin explicitly declared as India in the manufacturer address.</w:t>
            </w:r>
          </w:p>
        </w:tc>
      </w:tr>
    </w:tbl>
    <w:p/>
    <w:p>
      <w:pPr>
        <w:pStyle w:val="Heading2"/>
      </w:pPr>
      <w:r>
        <w:t>3. Manufacturer, Packer &amp; Importer Traceability Details (Rule 6(1)(a) &amp; Rule 10)</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448"/>
            <w:shd w:fill="F1F5F9"/>
            <w:tcMar>
              <w:top w:w="90" w:type="dxa"/>
              <w:bottom w:w="90" w:type="dxa"/>
              <w:left w:w="120" w:type="dxa"/>
              <w:right w:w="120" w:type="dxa"/>
            </w:tcMar>
          </w:tcPr>
          <w:p>
            <w:r>
              <w:rPr>
                <w:b/>
                <w:color w:val="0F172A"/>
                <w:sz w:val="18"/>
              </w:rPr>
              <w:t>Traceability Parameter</w:t>
            </w:r>
          </w:p>
        </w:tc>
        <w:tc>
          <w:tcPr>
            <w:tcW w:type="dxa" w:w="3168"/>
            <w:shd w:fill="F1F5F9"/>
            <w:tcMar>
              <w:top w:w="90" w:type="dxa"/>
              <w:bottom w:w="90" w:type="dxa"/>
              <w:left w:w="120" w:type="dxa"/>
              <w:right w:w="120" w:type="dxa"/>
            </w:tcMar>
          </w:tcPr>
          <w:p>
            <w:r>
              <w:rPr>
                <w:b/>
                <w:color w:val="0F172A"/>
                <w:sz w:val="18"/>
              </w:rPr>
              <w:t>Resolved Declaration Details</w:t>
            </w:r>
          </w:p>
        </w:tc>
        <w:tc>
          <w:tcPr>
            <w:tcW w:type="dxa" w:w="1584"/>
            <w:shd w:fill="F1F5F9"/>
            <w:tcMar>
              <w:top w:w="90" w:type="dxa"/>
              <w:bottom w:w="90" w:type="dxa"/>
              <w:left w:w="120" w:type="dxa"/>
              <w:right w:w="120" w:type="dxa"/>
            </w:tcMar>
          </w:tcPr>
          <w:p>
            <w:r>
              <w:rPr>
                <w:b/>
                <w:color w:val="0F172A"/>
                <w:sz w:val="18"/>
              </w:rPr>
              <w:t>Verification Source</w:t>
            </w:r>
          </w:p>
        </w:tc>
        <w:tc>
          <w:tcPr>
            <w:tcW w:type="dxa" w:w="2405"/>
            <w:shd w:fill="F1F5F9"/>
            <w:tcMar>
              <w:top w:w="90" w:type="dxa"/>
              <w:bottom w:w="90" w:type="dxa"/>
              <w:left w:w="120" w:type="dxa"/>
              <w:right w:w="120" w:type="dxa"/>
            </w:tcMar>
          </w:tcPr>
          <w:p>
            <w:r>
              <w:rPr>
                <w:b/>
                <w:color w:val="0F172A"/>
                <w:sz w:val="18"/>
              </w:rPr>
              <w:t>Compliance Findings</w:t>
            </w:r>
          </w:p>
        </w:tc>
      </w:tr>
      <w:tr>
        <w:trPr>
          <w:cantSplit/>
        </w:trPr>
        <w:tc>
          <w:tcPr>
            <w:tcW w:type="dxa" w:w="2448"/>
            <w:tcMar>
              <w:top w:w="90" w:type="dxa"/>
              <w:bottom w:w="90" w:type="dxa"/>
              <w:left w:w="120" w:type="dxa"/>
              <w:right w:w="120" w:type="dxa"/>
            </w:tcMar>
          </w:tcPr>
          <w:p>
            <w:r>
              <w:rPr>
                <w:sz w:val="17"/>
              </w:rPr>
              <w:t>Manufacturer / Packer Name</w:t>
            </w:r>
          </w:p>
        </w:tc>
        <w:tc>
          <w:tcPr>
            <w:tcW w:type="dxa" w:w="3168"/>
            <w:tcMar>
              <w:top w:w="90" w:type="dxa"/>
              <w:bottom w:w="90" w:type="dxa"/>
              <w:left w:w="120" w:type="dxa"/>
              <w:right w:w="120" w:type="dxa"/>
            </w:tcMar>
          </w:tcPr>
          <w:p>
            <w:r>
              <w:rPr>
                <w:sz w:val="17"/>
              </w:rPr>
              <w:t>Karnataka Soaps &amp; Detergents Limited</w:t>
            </w:r>
          </w:p>
        </w:tc>
        <w:tc>
          <w:tcPr>
            <w:tcW w:type="dxa" w:w="1584"/>
            <w:tcMar>
              <w:top w:w="90" w:type="dxa"/>
              <w:bottom w:w="90" w:type="dxa"/>
              <w:left w:w="120" w:type="dxa"/>
              <w:right w:w="120" w:type="dxa"/>
            </w:tcMar>
          </w:tcPr>
          <w:p>
            <w:r>
              <w:rPr>
                <w:sz w:val="17"/>
              </w:rPr>
              <w:t>ON_PACK</w:t>
            </w:r>
          </w:p>
        </w:tc>
        <w:tc>
          <w:tcPr>
            <w:tcW w:type="dxa" w:w="2405"/>
            <w:tcMar>
              <w:top w:w="90" w:type="dxa"/>
              <w:bottom w:w="90" w:type="dxa"/>
              <w:left w:w="120" w:type="dxa"/>
              <w:right w:w="120" w:type="dxa"/>
            </w:tcMar>
          </w:tcPr>
          <w:p>
            <w:r>
              <w:rPr>
                <w:sz w:val="17"/>
              </w:rPr>
              <w:t>Physical factory identity recorded.</w:t>
            </w:r>
          </w:p>
        </w:tc>
      </w:tr>
      <w:tr>
        <w:trPr>
          <w:cantSplit/>
        </w:trPr>
        <w:tc>
          <w:tcPr>
            <w:tcW w:type="dxa" w:w="2448"/>
            <w:tcMar>
              <w:top w:w="90" w:type="dxa"/>
              <w:bottom w:w="90" w:type="dxa"/>
              <w:left w:w="120" w:type="dxa"/>
              <w:right w:w="120" w:type="dxa"/>
            </w:tcMar>
          </w:tcPr>
          <w:p>
            <w:r>
              <w:rPr>
                <w:sz w:val="17"/>
              </w:rPr>
              <w:t>Factory Premises Address</w:t>
            </w:r>
          </w:p>
        </w:tc>
        <w:tc>
          <w:tcPr>
            <w:tcW w:type="dxa" w:w="3168"/>
            <w:tcMar>
              <w:top w:w="90" w:type="dxa"/>
              <w:bottom w:w="90" w:type="dxa"/>
              <w:left w:w="120" w:type="dxa"/>
              <w:right w:w="120" w:type="dxa"/>
            </w:tcMar>
          </w:tcPr>
          <w:p>
            <w:r>
              <w:rPr>
                <w:sz w:val="17"/>
              </w:rPr>
              <w:t>#27, Industrial Suburb, Bengaluru-Pune Highway, Malleshwaram (West), Bengaluru – 560 055, India</w:t>
            </w:r>
          </w:p>
        </w:tc>
        <w:tc>
          <w:tcPr>
            <w:tcW w:type="dxa" w:w="1584"/>
            <w:tcMar>
              <w:top w:w="90" w:type="dxa"/>
              <w:bottom w:w="90" w:type="dxa"/>
              <w:left w:w="120" w:type="dxa"/>
              <w:right w:w="120" w:type="dxa"/>
            </w:tcMar>
          </w:tcPr>
          <w:p>
            <w:r>
              <w:rPr>
                <w:sz w:val="17"/>
              </w:rPr>
              <w:t>ON_PACK</w:t>
            </w:r>
          </w:p>
        </w:tc>
        <w:tc>
          <w:tcPr>
            <w:tcW w:type="dxa" w:w="2405"/>
            <w:tcMar>
              <w:top w:w="90" w:type="dxa"/>
              <w:bottom w:w="90" w:type="dxa"/>
              <w:left w:w="120" w:type="dxa"/>
              <w:right w:w="120" w:type="dxa"/>
            </w:tcMar>
          </w:tcPr>
          <w:p>
            <w:r>
              <w:rPr>
                <w:sz w:val="17"/>
              </w:rPr>
              <w:t>Complete manufacturer name and factory address with state and pincode clearly stated on pack.</w:t>
            </w:r>
          </w:p>
        </w:tc>
      </w:tr>
      <w:tr>
        <w:trPr>
          <w:cantSplit/>
        </w:trPr>
        <w:tc>
          <w:tcPr>
            <w:tcW w:type="dxa" w:w="2448"/>
            <w:tcMar>
              <w:top w:w="90" w:type="dxa"/>
              <w:bottom w:w="90" w:type="dxa"/>
              <w:left w:w="120" w:type="dxa"/>
              <w:right w:w="120" w:type="dxa"/>
            </w:tcMar>
          </w:tcPr>
          <w:p>
            <w:r>
              <w:rPr>
                <w:sz w:val="17"/>
              </w:rPr>
              <w:t>QR Portal / Digital Link</w:t>
            </w:r>
          </w:p>
        </w:tc>
        <w:tc>
          <w:tcPr>
            <w:tcW w:type="dxa" w:w="3168"/>
            <w:tcMar>
              <w:top w:w="90" w:type="dxa"/>
              <w:bottom w:w="90" w:type="dxa"/>
              <w:left w:w="120" w:type="dxa"/>
              <w:right w:w="120" w:type="dxa"/>
            </w:tcMar>
          </w:tcPr>
          <w:p>
            <w:r>
              <w:rPr>
                <w:sz w:val="17"/>
              </w:rPr>
              <w:t>None on Packaging</w:t>
            </w:r>
          </w:p>
        </w:tc>
        <w:tc>
          <w:tcPr>
            <w:tcW w:type="dxa" w:w="1584"/>
            <w:tcMar>
              <w:top w:w="90" w:type="dxa"/>
              <w:bottom w:w="90" w:type="dxa"/>
              <w:left w:w="120" w:type="dxa"/>
              <w:right w:w="120" w:type="dxa"/>
            </w:tcMar>
          </w:tcPr>
          <w:p>
            <w:r>
              <w:rPr>
                <w:sz w:val="17"/>
              </w:rPr>
              <w:t>Optical QR Sweep</w:t>
            </w:r>
          </w:p>
        </w:tc>
        <w:tc>
          <w:tcPr>
            <w:tcW w:type="dxa" w:w="2405"/>
            <w:tcMar>
              <w:top w:w="90" w:type="dxa"/>
              <w:bottom w:w="90" w:type="dxa"/>
              <w:left w:w="120" w:type="dxa"/>
              <w:right w:w="120" w:type="dxa"/>
            </w:tcMar>
          </w:tcPr>
          <w:p>
            <w:r>
              <w:rPr>
                <w:sz w:val="17"/>
              </w:rPr>
              <w:t>Direct label declaration.</w:t>
            </w:r>
          </w:p>
        </w:tc>
      </w:tr>
      <w:tr>
        <w:trPr>
          <w:cantSplit/>
        </w:trPr>
        <w:tc>
          <w:tcPr>
            <w:tcW w:type="dxa" w:w="2448"/>
            <w:tcMar>
              <w:top w:w="90" w:type="dxa"/>
              <w:bottom w:w="90" w:type="dxa"/>
              <w:left w:w="120" w:type="dxa"/>
              <w:right w:w="120" w:type="dxa"/>
            </w:tcMar>
          </w:tcPr>
          <w:p>
            <w:r>
              <w:rPr>
                <w:sz w:val="17"/>
              </w:rPr>
              <w:t>Country of Origin</w:t>
            </w:r>
          </w:p>
        </w:tc>
        <w:tc>
          <w:tcPr>
            <w:tcW w:type="dxa" w:w="3168"/>
            <w:tcMar>
              <w:top w:w="90" w:type="dxa"/>
              <w:bottom w:w="90" w:type="dxa"/>
              <w:left w:w="120" w:type="dxa"/>
              <w:right w:w="120" w:type="dxa"/>
            </w:tcMar>
          </w:tcPr>
          <w:p>
            <w:r>
              <w:rPr>
                <w:sz w:val="17"/>
              </w:rPr>
              <w:t>India</w:t>
            </w:r>
          </w:p>
        </w:tc>
        <w:tc>
          <w:tcPr>
            <w:tcW w:type="dxa" w:w="1584"/>
            <w:tcMar>
              <w:top w:w="90" w:type="dxa"/>
              <w:bottom w:w="90" w:type="dxa"/>
              <w:left w:w="120" w:type="dxa"/>
              <w:right w:w="120" w:type="dxa"/>
            </w:tcMar>
          </w:tcPr>
          <w:p>
            <w:r>
              <w:rPr>
                <w:sz w:val="17"/>
              </w:rPr>
              <w:t>Rule 6(1)(g)</w:t>
            </w:r>
          </w:p>
        </w:tc>
        <w:tc>
          <w:tcPr>
            <w:tcW w:type="dxa" w:w="2405"/>
            <w:tcMar>
              <w:top w:w="90" w:type="dxa"/>
              <w:bottom w:w="90" w:type="dxa"/>
              <w:left w:w="120" w:type="dxa"/>
              <w:right w:w="120" w:type="dxa"/>
            </w:tcMar>
          </w:tcPr>
          <w:p>
            <w:r>
              <w:rPr>
                <w:sz w:val="17"/>
              </w:rPr>
              <w:t>Country of origin explicitly declared as India in the manufacturer address.</w:t>
            </w:r>
          </w:p>
        </w:tc>
      </w:tr>
    </w:tbl>
    <w:p/>
    <w:p>
      <w:pPr>
        <w:pStyle w:val="Heading2"/>
      </w:pPr>
      <w:r>
        <w:t>4. Unit Sale Price (USP) Mathematical Cross-Verification (Rule 6(1)(e))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1872"/>
            <w:shd w:fill="F1F5F9"/>
            <w:tcMar>
              <w:top w:w="90" w:type="dxa"/>
              <w:bottom w:w="90" w:type="dxa"/>
              <w:left w:w="120" w:type="dxa"/>
              <w:right w:w="120" w:type="dxa"/>
            </w:tcMar>
          </w:tcPr>
          <w:p>
            <w:r>
              <w:rPr>
                <w:b/>
                <w:color w:val="0F172A"/>
                <w:sz w:val="18"/>
              </w:rPr>
              <w:t>Declared MRP</w:t>
            </w:r>
          </w:p>
        </w:tc>
        <w:tc>
          <w:tcPr>
            <w:tcW w:type="dxa" w:w="1872"/>
            <w:shd w:fill="F1F5F9"/>
            <w:tcMar>
              <w:top w:w="90" w:type="dxa"/>
              <w:bottom w:w="90" w:type="dxa"/>
              <w:left w:w="120" w:type="dxa"/>
              <w:right w:w="120" w:type="dxa"/>
            </w:tcMar>
          </w:tcPr>
          <w:p>
            <w:r>
              <w:rPr>
                <w:b/>
                <w:color w:val="0F172A"/>
                <w:sz w:val="18"/>
              </w:rPr>
              <w:t>Net Quantity</w:t>
            </w:r>
          </w:p>
        </w:tc>
        <w:tc>
          <w:tcPr>
            <w:tcW w:type="dxa" w:w="1872"/>
            <w:shd w:fill="F1F5F9"/>
            <w:tcMar>
              <w:top w:w="90" w:type="dxa"/>
              <w:bottom w:w="90" w:type="dxa"/>
              <w:left w:w="120" w:type="dxa"/>
              <w:right w:w="120" w:type="dxa"/>
            </w:tcMar>
          </w:tcPr>
          <w:p>
            <w:r>
              <w:rPr>
                <w:b/>
                <w:color w:val="0F172A"/>
                <w:sz w:val="18"/>
              </w:rPr>
              <w:t>Declared USP</w:t>
            </w:r>
          </w:p>
        </w:tc>
        <w:tc>
          <w:tcPr>
            <w:tcW w:type="dxa" w:w="2304"/>
            <w:shd w:fill="F1F5F9"/>
            <w:tcMar>
              <w:top w:w="90" w:type="dxa"/>
              <w:bottom w:w="90" w:type="dxa"/>
              <w:left w:w="120" w:type="dxa"/>
              <w:right w:w="120" w:type="dxa"/>
            </w:tcMar>
          </w:tcPr>
          <w:p>
            <w:r>
              <w:rPr>
                <w:b/>
                <w:color w:val="0F172A"/>
                <w:sz w:val="18"/>
              </w:rPr>
              <w:t>Calculated Base USP</w:t>
            </w:r>
          </w:p>
        </w:tc>
        <w:tc>
          <w:tcPr>
            <w:tcW w:type="dxa" w:w="1685"/>
            <w:shd w:fill="F1F5F9"/>
            <w:tcMar>
              <w:top w:w="90" w:type="dxa"/>
              <w:bottom w:w="90" w:type="dxa"/>
              <w:left w:w="120" w:type="dxa"/>
              <w:right w:w="120" w:type="dxa"/>
            </w:tcMar>
          </w:tcPr>
          <w:p>
            <w:r>
              <w:rPr>
                <w:b/>
                <w:color w:val="0F172A"/>
                <w:sz w:val="18"/>
              </w:rPr>
              <w:t>Verdict</w:t>
            </w:r>
          </w:p>
        </w:tc>
      </w:tr>
      <w:tr>
        <w:trPr>
          <w:cantSplit/>
        </w:trPr>
        <w:tc>
          <w:tcPr>
            <w:tcW w:type="dxa" w:w="1872"/>
            <w:tcMar>
              <w:top w:w="90" w:type="dxa"/>
              <w:bottom w:w="90" w:type="dxa"/>
              <w:left w:w="120" w:type="dxa"/>
              <w:right w:w="120" w:type="dxa"/>
            </w:tcMar>
          </w:tcPr>
          <w:p>
            <w:r>
              <w:rPr>
                <w:sz w:val="17"/>
              </w:rPr>
              <w:t>Rs. 38.0</w:t>
            </w:r>
          </w:p>
        </w:tc>
        <w:tc>
          <w:tcPr>
            <w:tcW w:type="dxa" w:w="1872"/>
            <w:tcMar>
              <w:top w:w="90" w:type="dxa"/>
              <w:bottom w:w="90" w:type="dxa"/>
              <w:left w:w="120" w:type="dxa"/>
              <w:right w:w="120" w:type="dxa"/>
            </w:tcMar>
          </w:tcPr>
          <w:p>
            <w:r>
              <w:rPr>
                <w:sz w:val="17"/>
              </w:rPr>
              <w:t>75.0 g</w:t>
            </w:r>
          </w:p>
        </w:tc>
        <w:tc>
          <w:tcPr>
            <w:tcW w:type="dxa" w:w="1872"/>
            <w:tcMar>
              <w:top w:w="90" w:type="dxa"/>
              <w:bottom w:w="90" w:type="dxa"/>
              <w:left w:w="120" w:type="dxa"/>
              <w:right w:w="120" w:type="dxa"/>
            </w:tcMar>
          </w:tcPr>
          <w:p>
            <w:r>
              <w:rPr>
                <w:sz w:val="17"/>
              </w:rPr>
              <w:t>₹ 0.51 per g</w:t>
            </w:r>
          </w:p>
        </w:tc>
        <w:tc>
          <w:tcPr>
            <w:tcW w:type="dxa" w:w="2304"/>
            <w:tcMar>
              <w:top w:w="90" w:type="dxa"/>
              <w:bottom w:w="90" w:type="dxa"/>
              <w:left w:w="120" w:type="dxa"/>
              <w:right w:w="120" w:type="dxa"/>
            </w:tcMar>
          </w:tcPr>
          <w:p>
            <w:r>
              <w:rPr>
                <w:sz w:val="17"/>
              </w:rPr>
              <w:t>Rs. 0.5067 Rs per g</w:t>
            </w:r>
          </w:p>
        </w:tc>
        <w:tc>
          <w:tcPr>
            <w:tcW w:type="dxa" w:w="1685"/>
            <w:tcMar>
              <w:top w:w="90" w:type="dxa"/>
              <w:bottom w:w="90" w:type="dxa"/>
              <w:left w:w="120" w:type="dxa"/>
              <w:right w:w="120" w:type="dxa"/>
            </w:tcMar>
          </w:tcPr>
          <w:p>
            <w:r>
              <w:rPr>
                <w:b/>
                <w:color w:val="15803D"/>
                <w:sz w:val="17"/>
              </w:rPr>
              <w:t>COMPLIANT</w:t>
            </w:r>
          </w:p>
        </w:tc>
      </w:tr>
    </w:tbl>
    <w:p>
      <w:r>
        <w:rPr>
          <w:i/>
          <w:sz w:val="17"/>
        </w:rPr>
        <w:t>Statutory Analysis: Unit Sale Price verified: Declared '₹ 0.51 per g' matches calculated Rs per g (Rs. 0.51).</w:t>
      </w:r>
    </w:p>
    <w:p>
      <w:pPr>
        <w:pStyle w:val="Heading2"/>
      </w:pPr>
      <w:r>
        <w:t>5. Second Schedule Prescribed Pack Sizes &amp; Anti-Shrinkflation Audit (Rule 5)</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2592"/>
            <w:shd w:fill="F1F5F9"/>
            <w:tcMar>
              <w:top w:w="90" w:type="dxa"/>
              <w:bottom w:w="90" w:type="dxa"/>
              <w:left w:w="120" w:type="dxa"/>
              <w:right w:w="120" w:type="dxa"/>
            </w:tcMar>
          </w:tcPr>
          <w:p>
            <w:r>
              <w:rPr>
                <w:b/>
                <w:color w:val="0F172A"/>
                <w:sz w:val="18"/>
              </w:rPr>
              <w:t>Prescribed Commodity</w:t>
            </w:r>
          </w:p>
        </w:tc>
        <w:tc>
          <w:tcPr>
            <w:tcW w:type="dxa" w:w="1728"/>
            <w:shd w:fill="F1F5F9"/>
            <w:tcMar>
              <w:top w:w="90" w:type="dxa"/>
              <w:bottom w:w="90" w:type="dxa"/>
              <w:left w:w="120" w:type="dxa"/>
              <w:right w:w="120" w:type="dxa"/>
            </w:tcMar>
          </w:tcPr>
          <w:p>
            <w:r>
              <w:rPr>
                <w:b/>
                <w:color w:val="0F172A"/>
                <w:sz w:val="18"/>
              </w:rPr>
              <w:t>Declared Pack Size</w:t>
            </w:r>
          </w:p>
        </w:tc>
        <w:tc>
          <w:tcPr>
            <w:tcW w:type="dxa" w:w="1728"/>
            <w:shd w:fill="F1F5F9"/>
            <w:tcMar>
              <w:top w:w="90" w:type="dxa"/>
              <w:bottom w:w="90" w:type="dxa"/>
              <w:left w:w="120" w:type="dxa"/>
              <w:right w:w="120" w:type="dxa"/>
            </w:tcMar>
          </w:tcPr>
          <w:p>
            <w:r>
              <w:rPr>
                <w:b/>
                <w:color w:val="0F172A"/>
                <w:sz w:val="18"/>
              </w:rPr>
              <w:t>Nearest Standard</w:t>
            </w:r>
          </w:p>
        </w:tc>
        <w:tc>
          <w:tcPr>
            <w:tcW w:type="dxa" w:w="1872"/>
            <w:shd w:fill="F1F5F9"/>
            <w:tcMar>
              <w:top w:w="90" w:type="dxa"/>
              <w:bottom w:w="90" w:type="dxa"/>
              <w:left w:w="120" w:type="dxa"/>
              <w:right w:w="120" w:type="dxa"/>
            </w:tcMar>
          </w:tcPr>
          <w:p>
            <w:r>
              <w:rPr>
                <w:b/>
                <w:color w:val="0F172A"/>
                <w:sz w:val="18"/>
              </w:rPr>
              <w:t>Deviation / Downsizing</w:t>
            </w:r>
          </w:p>
        </w:tc>
        <w:tc>
          <w:tcPr>
            <w:tcW w:type="dxa" w:w="1685"/>
            <w:shd w:fill="F1F5F9"/>
            <w:tcMar>
              <w:top w:w="90" w:type="dxa"/>
              <w:bottom w:w="90" w:type="dxa"/>
              <w:left w:w="120" w:type="dxa"/>
              <w:right w:w="120" w:type="dxa"/>
            </w:tcMar>
          </w:tcPr>
          <w:p>
            <w:r>
              <w:rPr>
                <w:b/>
                <w:color w:val="0F172A"/>
                <w:sz w:val="18"/>
              </w:rPr>
              <w:t>Verdict</w:t>
            </w:r>
          </w:p>
        </w:tc>
      </w:tr>
      <w:tr>
        <w:trPr>
          <w:cantSplit/>
        </w:trPr>
        <w:tc>
          <w:tcPr>
            <w:tcW w:type="dxa" w:w="2592"/>
            <w:tcMar>
              <w:top w:w="90" w:type="dxa"/>
              <w:bottom w:w="90" w:type="dxa"/>
              <w:left w:w="120" w:type="dxa"/>
              <w:right w:w="120" w:type="dxa"/>
            </w:tcMar>
          </w:tcPr>
          <w:p>
            <w:r>
              <w:rPr>
                <w:sz w:val="17"/>
              </w:rPr>
              <w:t>Soaps (Toilet &amp; Laundry)</w:t>
            </w:r>
          </w:p>
        </w:tc>
        <w:tc>
          <w:tcPr>
            <w:tcW w:type="dxa" w:w="1728"/>
            <w:tcMar>
              <w:top w:w="90" w:type="dxa"/>
              <w:bottom w:w="90" w:type="dxa"/>
              <w:left w:w="120" w:type="dxa"/>
              <w:right w:w="120" w:type="dxa"/>
            </w:tcMar>
          </w:tcPr>
          <w:p>
            <w:r>
              <w:rPr>
                <w:sz w:val="17"/>
              </w:rPr>
              <w:t>75.0 g</w:t>
            </w:r>
          </w:p>
        </w:tc>
        <w:tc>
          <w:tcPr>
            <w:tcW w:type="dxa" w:w="1728"/>
            <w:tcMar>
              <w:top w:w="90" w:type="dxa"/>
              <w:bottom w:w="90" w:type="dxa"/>
              <w:left w:w="120" w:type="dxa"/>
              <w:right w:w="120" w:type="dxa"/>
            </w:tcMar>
          </w:tcPr>
          <w:p>
            <w:r>
              <w:rPr>
                <w:sz w:val="17"/>
              </w:rPr>
              <w:t>75.0 g</w:t>
            </w:r>
          </w:p>
        </w:tc>
        <w:tc>
          <w:tcPr>
            <w:tcW w:type="dxa" w:w="1872"/>
            <w:tcMar>
              <w:top w:w="90" w:type="dxa"/>
              <w:bottom w:w="90" w:type="dxa"/>
              <w:left w:w="120" w:type="dxa"/>
              <w:right w:w="120" w:type="dxa"/>
            </w:tcMar>
          </w:tcPr>
          <w:p>
            <w:r>
              <w:rPr>
                <w:sz w:val="17"/>
              </w:rPr>
              <w:t>0.0%</w:t>
            </w:r>
          </w:p>
        </w:tc>
        <w:tc>
          <w:tcPr>
            <w:tcW w:type="dxa" w:w="1685"/>
            <w:tcMar>
              <w:top w:w="90" w:type="dxa"/>
              <w:bottom w:w="90" w:type="dxa"/>
              <w:left w:w="120" w:type="dxa"/>
              <w:right w:w="120" w:type="dxa"/>
            </w:tcMar>
          </w:tcPr>
          <w:p>
            <w:r>
              <w:rPr>
                <w:b/>
                <w:color w:val="15803D"/>
                <w:sz w:val="17"/>
              </w:rPr>
              <w:t>PASS</w:t>
            </w:r>
          </w:p>
        </w:tc>
      </w:tr>
    </w:tbl>
    <w:p>
      <w:r>
        <w:rPr>
          <w:i/>
          <w:sz w:val="17"/>
        </w:rPr>
        <w:t>Findings: Pack size conforms strictly to prescribed Second Schedule standard quantities for 'Soaps (Toilet &amp; Laundry)'.</w:t>
      </w:r>
    </w:p>
    <w:p>
      <w:pPr>
        <w:pStyle w:val="Heading2"/>
      </w:pPr>
      <w:r>
        <w:t>6. Physical &amp; Visual Metrology Audit (Rule 7 &amp; 9)</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2880"/>
            <w:shd w:fill="F1F5F9"/>
            <w:tcMar>
              <w:top w:w="90" w:type="dxa"/>
              <w:bottom w:w="90" w:type="dxa"/>
              <w:left w:w="120" w:type="dxa"/>
              <w:right w:w="120" w:type="dxa"/>
            </w:tcMar>
          </w:tcPr>
          <w:p>
            <w:r>
              <w:rPr>
                <w:b/>
                <w:color w:val="0F172A"/>
                <w:sz w:val="18"/>
              </w:rPr>
              <w:t>Metrology Parameter</w:t>
            </w:r>
          </w:p>
        </w:tc>
        <w:tc>
          <w:tcPr>
            <w:tcW w:type="dxa" w:w="1728"/>
            <w:shd w:fill="F1F5F9"/>
            <w:tcMar>
              <w:top w:w="90" w:type="dxa"/>
              <w:bottom w:w="90" w:type="dxa"/>
              <w:left w:w="120" w:type="dxa"/>
              <w:right w:w="120" w:type="dxa"/>
            </w:tcMar>
          </w:tcPr>
          <w:p>
            <w:r>
              <w:rPr>
                <w:b/>
                <w:color w:val="0F172A"/>
                <w:sz w:val="18"/>
              </w:rPr>
              <w:t>Measured Value</w:t>
            </w:r>
          </w:p>
        </w:tc>
        <w:tc>
          <w:tcPr>
            <w:tcW w:type="dxa" w:w="1728"/>
            <w:shd w:fill="F1F5F9"/>
            <w:tcMar>
              <w:top w:w="90" w:type="dxa"/>
              <w:bottom w:w="90" w:type="dxa"/>
              <w:left w:w="120" w:type="dxa"/>
              <w:right w:w="120" w:type="dxa"/>
            </w:tcMar>
          </w:tcPr>
          <w:p>
            <w:r>
              <w:rPr>
                <w:b/>
                <w:color w:val="0F172A"/>
                <w:sz w:val="18"/>
              </w:rPr>
              <w:t>Statutory Benchmark</w:t>
            </w:r>
          </w:p>
        </w:tc>
        <w:tc>
          <w:tcPr>
            <w:tcW w:type="dxa" w:w="1296"/>
            <w:shd w:fill="F1F5F9"/>
            <w:tcMar>
              <w:top w:w="90" w:type="dxa"/>
              <w:bottom w:w="90" w:type="dxa"/>
              <w:left w:w="120" w:type="dxa"/>
              <w:right w:w="120" w:type="dxa"/>
            </w:tcMar>
          </w:tcPr>
          <w:p>
            <w:r>
              <w:rPr>
                <w:b/>
                <w:color w:val="0F172A"/>
                <w:sz w:val="18"/>
              </w:rPr>
              <w:t>Verdict</w:t>
            </w:r>
          </w:p>
        </w:tc>
        <w:tc>
          <w:tcPr>
            <w:tcW w:type="dxa" w:w="1973"/>
            <w:shd w:fill="F1F5F9"/>
            <w:tcMar>
              <w:top w:w="90" w:type="dxa"/>
              <w:bottom w:w="90" w:type="dxa"/>
              <w:left w:w="120" w:type="dxa"/>
              <w:right w:w="120" w:type="dxa"/>
            </w:tcMar>
          </w:tcPr>
          <w:p>
            <w:r>
              <w:rPr>
                <w:b/>
                <w:color w:val="0F172A"/>
                <w:sz w:val="18"/>
              </w:rPr>
              <w:t>Remarks</w:t>
            </w:r>
          </w:p>
        </w:tc>
      </w:tr>
      <w:tr>
        <w:trPr>
          <w:cantSplit/>
        </w:trPr>
        <w:tc>
          <w:tcPr>
            <w:tcW w:type="dxa" w:w="2880"/>
            <w:tcMar>
              <w:top w:w="90" w:type="dxa"/>
              <w:bottom w:w="90" w:type="dxa"/>
              <w:left w:w="120" w:type="dxa"/>
              <w:right w:w="120" w:type="dxa"/>
            </w:tcMar>
          </w:tcPr>
          <w:p>
            <w:r>
              <w:rPr>
                <w:sz w:val="17"/>
              </w:rPr>
              <w:t>Table-I Numeral &amp; Letter Height (Rule 7(2))</w:t>
            </w:r>
          </w:p>
        </w:tc>
        <w:tc>
          <w:tcPr>
            <w:tcW w:type="dxa" w:w="1728"/>
            <w:tcMar>
              <w:top w:w="90" w:type="dxa"/>
              <w:bottom w:w="90" w:type="dxa"/>
              <w:left w:w="120" w:type="dxa"/>
              <w:right w:w="120" w:type="dxa"/>
            </w:tcMar>
          </w:tcPr>
          <w:p>
            <w:r>
              <w:rPr>
                <w:sz w:val="17"/>
              </w:rPr>
              <w:t>2.09 mm</w:t>
            </w:r>
          </w:p>
        </w:tc>
        <w:tc>
          <w:tcPr>
            <w:tcW w:type="dxa" w:w="1728"/>
            <w:tcMar>
              <w:top w:w="90" w:type="dxa"/>
              <w:bottom w:w="90" w:type="dxa"/>
              <w:left w:w="120" w:type="dxa"/>
              <w:right w:w="120" w:type="dxa"/>
            </w:tcMar>
          </w:tcPr>
          <w:p>
            <w:r>
              <w:rPr>
                <w:sz w:val="17"/>
              </w:rPr>
              <w:t>Min 1.0 mm</w:t>
            </w:r>
          </w:p>
        </w:tc>
        <w:tc>
          <w:tcPr>
            <w:tcW w:type="dxa" w:w="1296"/>
            <w:tcMar>
              <w:top w:w="90" w:type="dxa"/>
              <w:bottom w:w="90" w:type="dxa"/>
              <w:left w:w="120" w:type="dxa"/>
              <w:right w:w="120" w:type="dxa"/>
            </w:tcMar>
          </w:tcPr>
          <w:p>
            <w:r>
              <w:rPr>
                <w:b/>
                <w:color w:val="15803D"/>
                <w:sz w:val="17"/>
              </w:rPr>
              <w:t>PASS</w:t>
            </w:r>
          </w:p>
        </w:tc>
        <w:tc>
          <w:tcPr>
            <w:tcW w:type="dxa" w:w="1973"/>
            <w:tcMar>
              <w:top w:w="90" w:type="dxa"/>
              <w:bottom w:w="90" w:type="dxa"/>
              <w:left w:w="120" w:type="dxa"/>
              <w:right w:w="120" w:type="dxa"/>
            </w:tcMar>
          </w:tcPr>
          <w:p>
            <w:r>
              <w:rPr>
                <w:sz w:val="17"/>
              </w:rPr>
              <w:t>Measured height (2.09mm) meets statutory minimum of 1.0mm.</w:t>
            </w:r>
          </w:p>
        </w:tc>
      </w:tr>
      <w:tr>
        <w:trPr>
          <w:cantSplit/>
        </w:trPr>
        <w:tc>
          <w:tcPr>
            <w:tcW w:type="dxa" w:w="2880"/>
            <w:tcMar>
              <w:top w:w="90" w:type="dxa"/>
              <w:bottom w:w="90" w:type="dxa"/>
              <w:left w:w="120" w:type="dxa"/>
              <w:right w:w="120" w:type="dxa"/>
            </w:tcMar>
          </w:tcPr>
          <w:p>
            <w:r>
              <w:rPr>
                <w:sz w:val="17"/>
              </w:rPr>
              <w:t>Background Color Contrast (Rule 9(1)(b))</w:t>
            </w:r>
          </w:p>
        </w:tc>
        <w:tc>
          <w:tcPr>
            <w:tcW w:type="dxa" w:w="1728"/>
            <w:tcMar>
              <w:top w:w="90" w:type="dxa"/>
              <w:bottom w:w="90" w:type="dxa"/>
              <w:left w:w="120" w:type="dxa"/>
              <w:right w:w="120" w:type="dxa"/>
            </w:tcMar>
          </w:tcPr>
          <w:p>
            <w:r>
              <w:rPr>
                <w:sz w:val="17"/>
              </w:rPr>
              <w:t>Ratio: 4.09:1</w:t>
            </w:r>
          </w:p>
        </w:tc>
        <w:tc>
          <w:tcPr>
            <w:tcW w:type="dxa" w:w="1728"/>
            <w:tcMar>
              <w:top w:w="90" w:type="dxa"/>
              <w:bottom w:w="90" w:type="dxa"/>
              <w:left w:w="120" w:type="dxa"/>
              <w:right w:w="120" w:type="dxa"/>
            </w:tcMar>
          </w:tcPr>
          <w:p>
            <w:r>
              <w:rPr>
                <w:sz w:val="17"/>
              </w:rPr>
              <w:t>Min 3.0:1 Ratio</w:t>
            </w:r>
          </w:p>
        </w:tc>
        <w:tc>
          <w:tcPr>
            <w:tcW w:type="dxa" w:w="1296"/>
            <w:tcMar>
              <w:top w:w="90" w:type="dxa"/>
              <w:bottom w:w="90" w:type="dxa"/>
              <w:left w:w="120" w:type="dxa"/>
              <w:right w:w="120" w:type="dxa"/>
            </w:tcMar>
          </w:tcPr>
          <w:p>
            <w:r>
              <w:rPr>
                <w:b/>
                <w:color w:val="15803D"/>
                <w:sz w:val="17"/>
              </w:rPr>
              <w:t>PASS</w:t>
            </w:r>
          </w:p>
        </w:tc>
        <w:tc>
          <w:tcPr>
            <w:tcW w:type="dxa" w:w="1973"/>
            <w:tcMar>
              <w:top w:w="90" w:type="dxa"/>
              <w:bottom w:w="90" w:type="dxa"/>
              <w:left w:w="120" w:type="dxa"/>
              <w:right w:w="120" w:type="dxa"/>
            </w:tcMar>
          </w:tcPr>
          <w:p>
            <w:r>
              <w:rPr>
                <w:sz w:val="17"/>
              </w:rPr>
              <w:t>Conspicuous contrast verified (4.09:1 against statutory minimum 3.0:1).</w:t>
            </w:r>
          </w:p>
        </w:tc>
      </w:tr>
    </w:tbl>
    <w:p>
      <w:pPr>
        <w:pStyle w:val="Heading2"/>
      </w:pPr>
      <w:r>
        <w:t>7. Statutory Enforcement Summary (Legal Metrology Act, 2009)</w:t>
      </w:r>
    </w:p>
    <w:p>
      <w:r>
        <w:rPr>
          <w:b/>
          <w:color w:val="15803D"/>
          <w:sz w:val="17"/>
        </w:rPr>
        <w:t>Nil Infractions Recorded: All mandatory packaging declarations comply strictly with the Legal Metrology (Packaged Commodities) Rules, 2011. No statutory penalties under Section 36(1) or Section 39 applicable.</w:t>
      </w:r>
    </w:p>
    <w:p>
      <w:pPr>
        <w:spacing w:before="240" w:after="240"/>
      </w:pPr>
      <w:r>
        <w:rPr>
          <w:b/>
          <w:color w:val="B45309"/>
          <w:sz w:val="16"/>
        </w:rPr>
        <w:t xml:space="preserve">STATUTORY NOTICE ON EVIDENTIARY BADGES: </w:t>
      </w:r>
      <w:r>
        <w:rPr>
          <w:i/>
          <w:color w:val="64748B"/>
          <w:sz w:val="16"/>
        </w:rPr>
        <w:t>Declarations marked with the amber [MANUAL EDIT] tag represent statutory parameters physically inspected, verified, and updated by the authorized enforcement officer under Section 15 of the Legal Metrology Act, 2009, superseding automated OCR extractions. Entries without this badge represent automated multimodal detections.</w:t>
      </w:r>
    </w:p>
    <w:p>
      <w:r>
        <w:br/>
      </w:r>
    </w:p>
    <w:p>
      <w:r>
        <w:rPr>
          <w:sz w:val="17"/>
        </w:rPr>
        <w:t>Sejal Sharma                 Official Seal &amp; Digital Stamp</w:t>
        <w:br/>
        <w:t>Legal Metrology Department                                  Ministry of Consumer Affairs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