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2E6B9E" w:sz="4"/>
              <w:right w:val="none"/>
            </w:tcBorders>
            <w:shd w:fill="1B2A4A" w:val="clear"/>
            <w:tcMar>
              <w:top w:type="dxa" w:w="400"/>
              <w:left w:type="dxa" w:w="400"/>
              <w:bottom w:type="dxa" w:w="400"/>
              <w:right w:type="dxa" w:w="400"/>
            </w:tcMar>
          </w:tcPr>
          <w:p>
            <w:pPr>
              <w:spacing w:after="200"/>
              <w:jc w:val="left"/>
            </w:pPr>
            <w:r>
              <w:rPr>
                <w:rFonts w:ascii="Arial" w:cs="Arial" w:eastAsia="Arial" w:hAnsi="Arial"/>
                <w:b/>
                <w:bCs/>
                <w:color w:val="90CAF9"/>
                <w:sz w:val="20"/>
                <w:szCs w:val="20"/>
              </w:rPr>
              <w:t xml:space="preserve">DEEP RESEARCH REPORT  |  EXPANDED EDITION</w:t>
            </w:r>
          </w:p>
          <w:p>
            <w:pPr>
              <w:spacing w:after="160"/>
              <w:jc w:val="left"/>
            </w:pPr>
            <w:r>
              <w:rPr>
                <w:rFonts w:ascii="Arial" w:cs="Arial" w:eastAsia="Arial" w:hAnsi="Arial"/>
                <w:b/>
                <w:bCs/>
                <w:color w:val="FFFFFF"/>
                <w:sz w:val="52"/>
                <w:szCs w:val="52"/>
              </w:rPr>
              <w:t xml:space="preserve">Global Megatrends 2025–2050</w:t>
            </w:r>
          </w:p>
          <w:p>
            <w:pPr>
              <w:spacing w:after="120"/>
              <w:jc w:val="left"/>
            </w:pPr>
            <w:r>
              <w:rPr>
                <w:rFonts w:ascii="Arial" w:cs="Arial" w:eastAsia="Arial" w:hAnsi="Arial"/>
                <w:color w:val="B0BEC5"/>
                <w:sz w:val="30"/>
                <w:szCs w:val="30"/>
              </w:rPr>
              <w:t xml:space="preserve">The Impact / Impulse Matrix</w:t>
            </w:r>
          </w:p>
          <w:p>
            <w:pPr>
              <w:spacing w:after="200"/>
              <w:jc w:val="left"/>
            </w:pPr>
            <w:r>
              <w:rPr>
                <w:rFonts w:ascii="Arial" w:cs="Arial" w:eastAsia="Arial" w:hAnsi="Arial"/>
                <w:color w:val="90A4AE"/>
                <w:sz w:val="24"/>
                <w:szCs w:val="24"/>
              </w:rPr>
              <w:t xml:space="preserve">30+ Trends Classified by Time-to-Maturity &amp; Duration of Relevance</w:t>
            </w:r>
          </w:p>
        </w:tc>
      </w:tr>
    </w:tbl>
    <w:p>
      <w:pPr>
        <w:spacing w:after="200"/>
      </w:pPr>
    </w:p>
    <w:p>
      <w:pPr>
        <w:spacing w:after="200"/>
      </w:pPr>
    </w:p>
    <w:p>
      <w:pPr>
        <w:spacing w:after="160"/>
        <w:jc w:val="left"/>
      </w:pPr>
      <w:r>
        <w:rPr>
          <w:rFonts w:ascii="Arial" w:cs="Arial" w:eastAsia="Arial" w:hAnsi="Arial"/>
          <w:color w:val="555555"/>
          <w:sz w:val="22"/>
          <w:szCs w:val="22"/>
        </w:rPr>
        <w:t xml:space="preserve">An extended analysis building on foundational megatrend frameworks, enriched with 2025–2026 data. This edition introduces an Impact/Impulse classification matrix and expands the trend inventory to 30+ forces—from quantum computing and the space economy to the global water crisis and bio-digital convergence—spanning short cyclical disruptions to civilizational-scale transformations.</w:t>
      </w:r>
    </w:p>
    <w:p>
      <w:pPr>
        <w:spacing w:after="200"/>
      </w:pPr>
    </w:p>
    <w:p>
      <w:r>
        <w:rPr>
          <w:rFonts w:ascii="Arial" w:cs="Arial" w:eastAsia="Arial" w:hAnsi="Arial"/>
          <w:color w:val="777777"/>
          <w:sz w:val="22"/>
          <w:szCs w:val="22"/>
        </w:rPr>
        <w:t xml:space="preserve">Prepared: February 2026  |  Classification: For Strategic Use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Part 1: The Impact / Impulse Framework</w:t>
      </w:r>
    </w:p>
    <w:p>
      <w:pPr>
        <w:spacing w:after="160"/>
        <w:jc w:val="both"/>
      </w:pPr>
      <w:r>
        <w:rPr>
          <w:rFonts w:ascii="Arial" w:cs="Arial" w:eastAsia="Arial" w:hAnsi="Arial"/>
          <w:color w:val="1C1C1C"/>
          <w:sz w:val="22"/>
          <w:szCs w:val="22"/>
        </w:rPr>
        <w:t xml:space="preserve">Most trend analyses treat all forces as equivalent—listing them side by side as though a tariff cycle and a climate tipping point demand the same strategic response. They do not. The Impact/Impulse Matrix classifies trends along two independent dimensions that together determine what kind of action each requires.</w:t>
      </w:r>
    </w:p>
    <w:p>
      <w:pPr>
        <w:pStyle w:val="Heading2"/>
      </w:pPr>
      <w:r>
        <w:rPr>
          <w:rFonts w:ascii="Arial" w:cs="Arial" w:eastAsia="Arial" w:hAnsi="Arial"/>
        </w:rPr>
        <w:t xml:space="preserve">How to Read the Matrix</w:t>
      </w:r>
    </w:p>
    <w:p>
      <w:pPr>
        <w:spacing w:after="160"/>
        <w:jc w:val="both"/>
      </w:pPr>
      <w:r>
        <w:rPr>
          <w:rFonts w:ascii="Arial" w:cs="Arial" w:eastAsia="Arial" w:hAnsi="Arial"/>
          <w:b/>
          <w:bCs/>
          <w:color w:val="1B2A4A"/>
          <w:sz w:val="22"/>
          <w:szCs w:val="22"/>
        </w:rPr>
        <w:t xml:space="preserve">Impact (vertical axis)</w:t>
      </w:r>
      <w:r>
        <w:rPr>
          <w:rFonts w:ascii="Arial" w:cs="Arial" w:eastAsia="Arial" w:hAnsi="Arial"/>
          <w:color w:val="1C1C1C"/>
          <w:sz w:val="22"/>
          <w:szCs w:val="22"/>
        </w:rPr>
        <w:t xml:space="preserve"> measures when the trend reaches maturity—the point of peak disruption. Near-term trends (now–2028) are maturing as you read this. Medium-term trends (2028–2035) require strategic positioning now. Long-term trends (2035+) are still building but will eventually dwarf everything else.</w:t>
      </w:r>
    </w:p>
    <w:p>
      <w:pPr>
        <w:spacing w:after="160"/>
        <w:jc w:val="both"/>
      </w:pPr>
      <w:r>
        <w:rPr>
          <w:rFonts w:ascii="Arial" w:cs="Arial" w:eastAsia="Arial" w:hAnsi="Arial"/>
          <w:b/>
          <w:bCs/>
          <w:color w:val="1B2A4A"/>
          <w:sz w:val="22"/>
          <w:szCs w:val="22"/>
        </w:rPr>
        <w:t xml:space="preserve">Impulse (horizontal axis)</w:t>
      </w:r>
      <w:r>
        <w:rPr>
          <w:rFonts w:ascii="Arial" w:cs="Arial" w:eastAsia="Arial" w:hAnsi="Arial"/>
          <w:color w:val="1C1C1C"/>
          <w:sz w:val="22"/>
          <w:szCs w:val="22"/>
        </w:rPr>
        <w:t xml:space="preserve"> measures duration—how long the trend remains a relevant force. Short-impulse trends (2–5 years) are intense but transient. Medium-impulse trends (5–15 years) demand investment cycles. Long-impulse trends (15–50+ years) are structural forces requiring generational adaptation.</w:t>
      </w:r>
    </w:p>
    <w:p>
      <w:pPr>
        <w:spacing w:after="160"/>
        <w:jc w:val="both"/>
      </w:pPr>
      <w:r>
        <w:rPr>
          <w:rFonts w:ascii="Arial" w:cs="Arial" w:eastAsia="Arial" w:hAnsi="Arial"/>
          <w:color w:val="1C1C1C"/>
          <w:sz w:val="22"/>
          <w:szCs w:val="22"/>
        </w:rPr>
        <w:t xml:space="preserve">The most strategically dangerous trends cluster in the “Near-Term Impact / Long Impulse” zone: forces hitting now that will not go away. The greatest investment opportunities cluster in the “Medium-Term Impact / Medium Impulse” zone: strategic windows rewarding committed first-movers.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3"/>
      </w:tblGrid>
      <w:tr>
        <w:tc>
          <w:tcPr>
            <w:tcW w:type="dxa" w:w="1700"/>
            <w:tcBorders>
              <w:top w:val="single" w:color="B0BEC5" w:sz="1"/>
              <w:left w:val="single" w:color="B0BEC5" w:sz="1"/>
              <w:bottom w:val="single" w:color="B0BEC5" w:sz="1"/>
              <w:right w:val="single" w:color="B0BEC5" w:sz="1"/>
            </w:tcBorders>
            <w:shd w:fill="1B2A4A" w:val="clear"/>
            <w:tcMar>
              <w:top w:type="dxa" w:w="60"/>
              <w:left w:type="dxa" w:w="60"/>
              <w:bottom w:type="dxa" w:w="60"/>
              <w:right w:type="dxa" w:w="60"/>
            </w:tcMar>
            <w:vAlign w:val="center"/>
          </w:tcPr>
          <w:p>
            <w:pPr>
              <w:spacing w:after="40"/>
              <w:jc w:val="center"/>
            </w:pPr>
            <w:r>
              <w:rPr>
                <w:rFonts w:ascii="Arial" w:cs="Arial" w:eastAsia="Arial" w:hAnsi="Arial"/>
                <w:b/>
                <w:bCs/>
                <w:color w:val="FFFFFF"/>
                <w:sz w:val="16"/>
                <w:szCs w:val="16"/>
              </w:rPr>
              <w:t xml:space="preserve">IMPACT ↓</w:t>
            </w:r>
          </w:p>
          <w:p>
            <w:pPr>
              <w:spacing w:after="0"/>
              <w:jc w:val="center"/>
            </w:pPr>
            <w:r>
              <w:rPr>
                <w:rFonts w:ascii="Arial" w:cs="Arial" w:eastAsia="Arial" w:hAnsi="Arial"/>
                <w:b/>
                <w:bCs/>
                <w:color w:val="FFFFFF"/>
                <w:sz w:val="16"/>
                <w:szCs w:val="16"/>
              </w:rPr>
              <w:t xml:space="preserve">IMPULSE →</w:t>
            </w:r>
          </w:p>
        </w:tc>
        <w:tc>
          <w:tcPr>
            <w:tcW w:type="dxa" w:w="2553"/>
            <w:tcBorders>
              <w:top w:val="single" w:color="B0BEC5" w:sz="1"/>
              <w:left w:val="single" w:color="B0BEC5" w:sz="1"/>
              <w:bottom w:val="single" w:color="B0BEC5" w:sz="1"/>
              <w:right w:val="single" w:color="B0BEC5" w:sz="1"/>
            </w:tcBorders>
            <w:shd w:fill="1B2A4A" w:val="clear"/>
            <w:tcMar>
              <w:top w:type="dxa" w:w="60"/>
              <w:left w:type="dxa" w:w="60"/>
              <w:bottom w:type="dxa" w:w="60"/>
              <w:right w:type="dxa" w:w="60"/>
            </w:tcMar>
            <w:vAlign w:val="center"/>
          </w:tcPr>
          <w:p>
            <w:pPr>
              <w:spacing w:after="40"/>
              <w:jc w:val="center"/>
            </w:pPr>
            <w:r>
              <w:rPr>
                <w:rFonts w:ascii="Arial" w:cs="Arial" w:eastAsia="Arial" w:hAnsi="Arial"/>
                <w:b/>
                <w:bCs/>
                <w:color w:val="FFFFFF"/>
                <w:sz w:val="16"/>
                <w:szCs w:val="16"/>
              </w:rPr>
              <w:t xml:space="preserve">SHORT IMPULSE</w:t>
            </w:r>
          </w:p>
          <w:p>
            <w:pPr>
              <w:spacing w:after="0"/>
              <w:jc w:val="center"/>
            </w:pPr>
            <w:r>
              <w:rPr>
                <w:rFonts w:ascii="Arial" w:cs="Arial" w:eastAsia="Arial" w:hAnsi="Arial"/>
                <w:b/>
                <w:bCs/>
                <w:color w:val="FFFFFF"/>
                <w:sz w:val="16"/>
                <w:szCs w:val="16"/>
              </w:rPr>
              <w:t xml:space="preserve">(2–5 yrs)</w:t>
            </w:r>
          </w:p>
        </w:tc>
        <w:tc>
          <w:tcPr>
            <w:tcW w:type="dxa" w:w="2553"/>
            <w:tcBorders>
              <w:top w:val="single" w:color="B0BEC5" w:sz="1"/>
              <w:left w:val="single" w:color="B0BEC5" w:sz="1"/>
              <w:bottom w:val="single" w:color="B0BEC5" w:sz="1"/>
              <w:right w:val="single" w:color="B0BEC5" w:sz="1"/>
            </w:tcBorders>
            <w:shd w:fill="1B2A4A" w:val="clear"/>
            <w:tcMar>
              <w:top w:type="dxa" w:w="60"/>
              <w:left w:type="dxa" w:w="60"/>
              <w:bottom w:type="dxa" w:w="60"/>
              <w:right w:type="dxa" w:w="60"/>
            </w:tcMar>
            <w:vAlign w:val="center"/>
          </w:tcPr>
          <w:p>
            <w:pPr>
              <w:spacing w:after="40"/>
              <w:jc w:val="center"/>
            </w:pPr>
            <w:r>
              <w:rPr>
                <w:rFonts w:ascii="Arial" w:cs="Arial" w:eastAsia="Arial" w:hAnsi="Arial"/>
                <w:b/>
                <w:bCs/>
                <w:color w:val="FFFFFF"/>
                <w:sz w:val="16"/>
                <w:szCs w:val="16"/>
              </w:rPr>
              <w:t xml:space="preserve">MEDIUM IMPULSE</w:t>
            </w:r>
          </w:p>
          <w:p>
            <w:pPr>
              <w:spacing w:after="0"/>
              <w:jc w:val="center"/>
            </w:pPr>
            <w:r>
              <w:rPr>
                <w:rFonts w:ascii="Arial" w:cs="Arial" w:eastAsia="Arial" w:hAnsi="Arial"/>
                <w:b/>
                <w:bCs/>
                <w:color w:val="FFFFFF"/>
                <w:sz w:val="16"/>
                <w:szCs w:val="16"/>
              </w:rPr>
              <w:t xml:space="preserve">(5–15 yrs)</w:t>
            </w:r>
          </w:p>
        </w:tc>
        <w:tc>
          <w:tcPr>
            <w:tcW w:type="dxa" w:w="2553"/>
            <w:tcBorders>
              <w:top w:val="single" w:color="B0BEC5" w:sz="1"/>
              <w:left w:val="single" w:color="B0BEC5" w:sz="1"/>
              <w:bottom w:val="single" w:color="B0BEC5" w:sz="1"/>
              <w:right w:val="single" w:color="B0BEC5" w:sz="1"/>
            </w:tcBorders>
            <w:shd w:fill="1B2A4A" w:val="clear"/>
            <w:tcMar>
              <w:top w:type="dxa" w:w="60"/>
              <w:left w:type="dxa" w:w="60"/>
              <w:bottom w:type="dxa" w:w="60"/>
              <w:right w:type="dxa" w:w="60"/>
            </w:tcMar>
            <w:vAlign w:val="center"/>
          </w:tcPr>
          <w:p>
            <w:pPr>
              <w:spacing w:after="40"/>
              <w:jc w:val="center"/>
            </w:pPr>
            <w:r>
              <w:rPr>
                <w:rFonts w:ascii="Arial" w:cs="Arial" w:eastAsia="Arial" w:hAnsi="Arial"/>
                <w:b/>
                <w:bCs/>
                <w:color w:val="FFFFFF"/>
                <w:sz w:val="16"/>
                <w:szCs w:val="16"/>
              </w:rPr>
              <w:t xml:space="preserve">LONG IMPULSE</w:t>
            </w:r>
          </w:p>
          <w:p>
            <w:pPr>
              <w:spacing w:after="0"/>
              <w:jc w:val="center"/>
            </w:pPr>
            <w:r>
              <w:rPr>
                <w:rFonts w:ascii="Arial" w:cs="Arial" w:eastAsia="Arial" w:hAnsi="Arial"/>
                <w:b/>
                <w:bCs/>
                <w:color w:val="FFFFFF"/>
                <w:sz w:val="16"/>
                <w:szCs w:val="16"/>
              </w:rPr>
              <w:t xml:space="preserve">(15–50+ yrs)</w:t>
            </w:r>
          </w:p>
        </w:tc>
      </w:tr>
      <w:tr>
        <w:tc>
          <w:tcPr>
            <w:tcW w:type="dxa" w:w="1700"/>
            <w:tcBorders>
              <w:top w:val="single" w:color="B0BEC5" w:sz="1"/>
              <w:left w:val="single" w:color="B0BEC5" w:sz="1"/>
              <w:bottom w:val="single" w:color="B0BEC5" w:sz="1"/>
              <w:right w:val="single" w:color="B0BEC5" w:sz="1"/>
            </w:tcBorders>
            <w:shd w:fill="ECEFF1" w:val="clear"/>
            <w:tcMar>
              <w:top w:type="dxa" w:w="60"/>
              <w:left w:type="dxa" w:w="60"/>
              <w:bottom w:type="dxa" w:w="60"/>
              <w:right w:type="dxa" w:w="60"/>
            </w:tcMar>
            <w:vAlign w:val="center"/>
          </w:tcPr>
          <w:p>
            <w:pPr>
              <w:spacing w:after="40"/>
              <w:jc w:val="center"/>
            </w:pPr>
            <w:r>
              <w:rPr>
                <w:rFonts w:ascii="Arial" w:cs="Arial" w:eastAsia="Arial" w:hAnsi="Arial"/>
                <w:b/>
                <w:bCs/>
                <w:color w:val="1B2A4A"/>
                <w:sz w:val="16"/>
                <w:szCs w:val="16"/>
              </w:rPr>
              <w:t xml:space="preserve">NEAR-TERM</w:t>
            </w:r>
          </w:p>
          <w:p>
            <w:pPr>
              <w:spacing w:after="40"/>
              <w:jc w:val="center"/>
            </w:pPr>
            <w:r>
              <w:rPr>
                <w:rFonts w:ascii="Arial" w:cs="Arial" w:eastAsia="Arial" w:hAnsi="Arial"/>
                <w:b/>
                <w:bCs/>
                <w:color w:val="1B2A4A"/>
                <w:sz w:val="16"/>
                <w:szCs w:val="16"/>
              </w:rPr>
              <w:t xml:space="preserve">IMPACT</w:t>
            </w:r>
          </w:p>
          <w:p>
            <w:pPr>
              <w:spacing w:after="0"/>
              <w:jc w:val="center"/>
            </w:pPr>
            <w:r>
              <w:rPr>
                <w:rFonts w:ascii="Arial" w:cs="Arial" w:eastAsia="Arial" w:hAnsi="Arial"/>
                <w:b/>
                <w:bCs/>
                <w:color w:val="1B2A4A"/>
                <w:sz w:val="16"/>
                <w:szCs w:val="16"/>
              </w:rPr>
              <w:t xml:space="preserve">(Now–2028)</w:t>
            </w:r>
          </w:p>
        </w:tc>
        <w:tc>
          <w:tcPr>
            <w:tcW w:type="dxa" w:w="2553"/>
            <w:tcBorders>
              <w:top w:val="single" w:color="B0BEC5" w:sz="1"/>
              <w:left w:val="single" w:color="B0BEC5" w:sz="1"/>
              <w:bottom w:val="single" w:color="B0BEC5" w:sz="1"/>
              <w:right w:val="single" w:color="B0BEC5" w:sz="1"/>
            </w:tcBorders>
            <w:shd w:fill="FFF3E0"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7B5200"/>
                <w:sz w:val="16"/>
                <w:szCs w:val="16"/>
              </w:rPr>
              <w:t xml:space="preserve">• Tariff Shock Cycle</w:t>
            </w:r>
          </w:p>
          <w:p>
            <w:pPr>
              <w:spacing w:after="40"/>
              <w:jc w:val="center"/>
            </w:pPr>
            <w:r>
              <w:rPr>
                <w:rFonts w:ascii="Arial" w:cs="Arial" w:eastAsia="Arial" w:hAnsi="Arial"/>
                <w:b w:val="false"/>
                <w:bCs w:val="false"/>
                <w:color w:val="7B5200"/>
                <w:sz w:val="16"/>
                <w:szCs w:val="16"/>
              </w:rPr>
              <w:t xml:space="preserve">• GenAI Hype Correction</w:t>
            </w:r>
          </w:p>
          <w:p>
            <w:pPr>
              <w:spacing w:after="40"/>
              <w:jc w:val="center"/>
            </w:pPr>
            <w:r>
              <w:rPr>
                <w:rFonts w:ascii="Arial" w:cs="Arial" w:eastAsia="Arial" w:hAnsi="Arial"/>
                <w:b w:val="false"/>
                <w:bCs w:val="false"/>
                <w:color w:val="7B5200"/>
                <w:sz w:val="16"/>
                <w:szCs w:val="16"/>
              </w:rPr>
              <w:t xml:space="preserve">• Post-Quantum Crypto</w:t>
            </w:r>
          </w:p>
          <w:p>
            <w:pPr>
              <w:spacing w:after="40"/>
              <w:jc w:val="center"/>
            </w:pPr>
            <w:r>
              <w:rPr>
                <w:rFonts w:ascii="Arial" w:cs="Arial" w:eastAsia="Arial" w:hAnsi="Arial"/>
                <w:b w:val="false"/>
                <w:bCs w:val="false"/>
                <w:color w:val="7B5200"/>
                <w:sz w:val="16"/>
                <w:szCs w:val="16"/>
              </w:rPr>
              <w:t xml:space="preserve">• Deepfake / AI Fraud Surge</w:t>
            </w:r>
          </w:p>
          <w:p>
            <w:pPr>
              <w:spacing w:after="0"/>
              <w:jc w:val="center"/>
            </w:pPr>
            <w:r>
              <w:rPr>
                <w:rFonts w:ascii="Arial" w:cs="Arial" w:eastAsia="Arial" w:hAnsi="Arial"/>
                <w:b w:val="false"/>
                <w:bCs w:val="false"/>
                <w:color w:val="7B5200"/>
                <w:sz w:val="16"/>
                <w:szCs w:val="16"/>
              </w:rPr>
              <w:t xml:space="preserve">• Critical Minerals Volatility</w:t>
            </w:r>
          </w:p>
        </w:tc>
        <w:tc>
          <w:tcPr>
            <w:tcW w:type="dxa" w:w="2553"/>
            <w:tcBorders>
              <w:top w:val="single" w:color="B0BEC5" w:sz="1"/>
              <w:left w:val="single" w:color="B0BEC5" w:sz="1"/>
              <w:bottom w:val="single" w:color="B0BEC5" w:sz="1"/>
              <w:right w:val="single" w:color="B0BEC5" w:sz="1"/>
            </w:tcBorders>
            <w:shd w:fill="E3F2FD"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A4D80"/>
                <w:sz w:val="16"/>
                <w:szCs w:val="16"/>
              </w:rPr>
              <w:t xml:space="preserve">• Agentic AI Revolution</w:t>
            </w:r>
          </w:p>
          <w:p>
            <w:pPr>
              <w:spacing w:after="40"/>
              <w:jc w:val="center"/>
            </w:pPr>
            <w:r>
              <w:rPr>
                <w:rFonts w:ascii="Arial" w:cs="Arial" w:eastAsia="Arial" w:hAnsi="Arial"/>
                <w:b w:val="false"/>
                <w:bCs w:val="false"/>
                <w:color w:val="1A4D80"/>
                <w:sz w:val="16"/>
                <w:szCs w:val="16"/>
              </w:rPr>
              <w:t xml:space="preserve">• Insurance Uninsurability</w:t>
            </w:r>
          </w:p>
          <w:p>
            <w:pPr>
              <w:spacing w:after="40"/>
              <w:jc w:val="center"/>
            </w:pPr>
            <w:r>
              <w:rPr>
                <w:rFonts w:ascii="Arial" w:cs="Arial" w:eastAsia="Arial" w:hAnsi="Arial"/>
                <w:b w:val="false"/>
                <w:bCs w:val="false"/>
                <w:color w:val="1A4D80"/>
                <w:sz w:val="16"/>
                <w:szCs w:val="16"/>
              </w:rPr>
              <w:t xml:space="preserve">• Supply Chain Rearrangement</w:t>
            </w:r>
          </w:p>
          <w:p>
            <w:pPr>
              <w:spacing w:after="40"/>
              <w:jc w:val="center"/>
            </w:pPr>
            <w:r>
              <w:rPr>
                <w:rFonts w:ascii="Arial" w:cs="Arial" w:eastAsia="Arial" w:hAnsi="Arial"/>
                <w:b w:val="false"/>
                <w:bCs w:val="false"/>
                <w:color w:val="1A4D80"/>
                <w:sz w:val="16"/>
                <w:szCs w:val="16"/>
              </w:rPr>
              <w:t xml:space="preserve">• AI Cybersecurity Arms Race</w:t>
            </w:r>
          </w:p>
          <w:p>
            <w:pPr>
              <w:spacing w:after="0"/>
              <w:jc w:val="center"/>
            </w:pPr>
            <w:r>
              <w:rPr>
                <w:rFonts w:ascii="Arial" w:cs="Arial" w:eastAsia="Arial" w:hAnsi="Arial"/>
                <w:b w:val="false"/>
                <w:bCs w:val="false"/>
                <w:color w:val="1A4D80"/>
                <w:sz w:val="16"/>
                <w:szCs w:val="16"/>
              </w:rPr>
              <w:t xml:space="preserve">• Remote Work Normalization</w:t>
            </w:r>
          </w:p>
        </w:tc>
        <w:tc>
          <w:tcPr>
            <w:tcW w:type="dxa" w:w="2553"/>
            <w:tcBorders>
              <w:top w:val="single" w:color="B0BEC5" w:sz="1"/>
              <w:left w:val="single" w:color="B0BEC5" w:sz="1"/>
              <w:bottom w:val="single" w:color="B0BEC5" w:sz="1"/>
              <w:right w:val="single" w:color="B0BEC5" w:sz="1"/>
            </w:tcBorders>
            <w:shd w:fill="E8F5E9"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B5E46"/>
                <w:sz w:val="16"/>
                <w:szCs w:val="16"/>
              </w:rPr>
              <w:t xml:space="preserve">• Trust Erosion / Insularity</w:t>
            </w:r>
          </w:p>
          <w:p>
            <w:pPr>
              <w:spacing w:after="40"/>
              <w:jc w:val="center"/>
            </w:pPr>
            <w:r>
              <w:rPr>
                <w:rFonts w:ascii="Arial" w:cs="Arial" w:eastAsia="Arial" w:hAnsi="Arial"/>
                <w:b w:val="false"/>
                <w:bCs w:val="false"/>
                <w:color w:val="1B5E46"/>
                <w:sz w:val="16"/>
                <w:szCs w:val="16"/>
              </w:rPr>
              <w:t xml:space="preserve">• Data Center Energy Crisis</w:t>
            </w:r>
          </w:p>
          <w:p>
            <w:pPr>
              <w:spacing w:after="40"/>
              <w:jc w:val="center"/>
            </w:pPr>
            <w:r>
              <w:rPr>
                <w:rFonts w:ascii="Arial" w:cs="Arial" w:eastAsia="Arial" w:hAnsi="Arial"/>
                <w:b w:val="false"/>
                <w:bCs w:val="false"/>
                <w:color w:val="1B5E46"/>
                <w:sz w:val="16"/>
                <w:szCs w:val="16"/>
              </w:rPr>
              <w:t xml:space="preserve">• Circular Economy Shift</w:t>
            </w:r>
          </w:p>
          <w:p>
            <w:pPr>
              <w:spacing w:after="40"/>
              <w:jc w:val="center"/>
            </w:pPr>
            <w:r>
              <w:rPr>
                <w:rFonts w:ascii="Arial" w:cs="Arial" w:eastAsia="Arial" w:hAnsi="Arial"/>
                <w:b w:val="false"/>
                <w:bCs w:val="false"/>
                <w:color w:val="1B5E46"/>
                <w:sz w:val="16"/>
                <w:szCs w:val="16"/>
              </w:rPr>
              <w:t xml:space="preserve">• Weaponized Interdependence</w:t>
            </w:r>
          </w:p>
          <w:p>
            <w:pPr>
              <w:spacing w:after="0"/>
              <w:jc w:val="center"/>
            </w:pPr>
            <w:r>
              <w:rPr>
                <w:rFonts w:ascii="Arial" w:cs="Arial" w:eastAsia="Arial" w:hAnsi="Arial"/>
                <w:b w:val="false"/>
                <w:bCs w:val="false"/>
                <w:color w:val="1B5E46"/>
                <w:sz w:val="16"/>
                <w:szCs w:val="16"/>
              </w:rPr>
              <w:t xml:space="preserve">• Disinformation Ecosystem</w:t>
            </w:r>
          </w:p>
        </w:tc>
      </w:tr>
      <w:tr>
        <w:tc>
          <w:tcPr>
            <w:tcW w:type="dxa" w:w="1700"/>
            <w:tcBorders>
              <w:top w:val="single" w:color="B0BEC5" w:sz="1"/>
              <w:left w:val="single" w:color="B0BEC5" w:sz="1"/>
              <w:bottom w:val="single" w:color="B0BEC5" w:sz="1"/>
              <w:right w:val="single" w:color="B0BEC5" w:sz="1"/>
            </w:tcBorders>
            <w:shd w:fill="ECEFF1" w:val="clear"/>
            <w:tcMar>
              <w:top w:type="dxa" w:w="60"/>
              <w:left w:type="dxa" w:w="60"/>
              <w:bottom w:type="dxa" w:w="60"/>
              <w:right w:type="dxa" w:w="60"/>
            </w:tcMar>
            <w:vAlign w:val="center"/>
          </w:tcPr>
          <w:p>
            <w:pPr>
              <w:spacing w:after="40"/>
              <w:jc w:val="center"/>
            </w:pPr>
            <w:r>
              <w:rPr>
                <w:rFonts w:ascii="Arial" w:cs="Arial" w:eastAsia="Arial" w:hAnsi="Arial"/>
                <w:b/>
                <w:bCs/>
                <w:color w:val="1B2A4A"/>
                <w:sz w:val="16"/>
                <w:szCs w:val="16"/>
              </w:rPr>
              <w:t xml:space="preserve">MEDIUM-TERM</w:t>
            </w:r>
          </w:p>
          <w:p>
            <w:pPr>
              <w:spacing w:after="40"/>
              <w:jc w:val="center"/>
            </w:pPr>
            <w:r>
              <w:rPr>
                <w:rFonts w:ascii="Arial" w:cs="Arial" w:eastAsia="Arial" w:hAnsi="Arial"/>
                <w:b/>
                <w:bCs/>
                <w:color w:val="1B2A4A"/>
                <w:sz w:val="16"/>
                <w:szCs w:val="16"/>
              </w:rPr>
              <w:t xml:space="preserve">IMPACT</w:t>
            </w:r>
          </w:p>
          <w:p>
            <w:pPr>
              <w:spacing w:after="0"/>
              <w:jc w:val="center"/>
            </w:pPr>
            <w:r>
              <w:rPr>
                <w:rFonts w:ascii="Arial" w:cs="Arial" w:eastAsia="Arial" w:hAnsi="Arial"/>
                <w:b/>
                <w:bCs/>
                <w:color w:val="1B2A4A"/>
                <w:sz w:val="16"/>
                <w:szCs w:val="16"/>
              </w:rPr>
              <w:t xml:space="preserve">(2028–2035)</w:t>
            </w:r>
          </w:p>
        </w:tc>
        <w:tc>
          <w:tcPr>
            <w:tcW w:type="dxa" w:w="2553"/>
            <w:tcBorders>
              <w:top w:val="single" w:color="B0BEC5" w:sz="1"/>
              <w:left w:val="single" w:color="B0BEC5" w:sz="1"/>
              <w:bottom w:val="single" w:color="B0BEC5" w:sz="1"/>
              <w:right w:val="single" w:color="B0BEC5" w:sz="1"/>
            </w:tcBorders>
            <w:shd w:fill="FFF3E0"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7B5200"/>
                <w:sz w:val="16"/>
                <w:szCs w:val="16"/>
              </w:rPr>
              <w:t xml:space="preserve">• Spatial Computing Hype</w:t>
            </w:r>
          </w:p>
          <w:p>
            <w:pPr>
              <w:spacing w:after="40"/>
              <w:jc w:val="center"/>
            </w:pPr>
            <w:r>
              <w:rPr>
                <w:rFonts w:ascii="Arial" w:cs="Arial" w:eastAsia="Arial" w:hAnsi="Arial"/>
                <w:b w:val="false"/>
                <w:bCs w:val="false"/>
                <w:color w:val="7B5200"/>
                <w:sz w:val="16"/>
                <w:szCs w:val="16"/>
              </w:rPr>
              <w:t xml:space="preserve">• Chip Architecture Shift</w:t>
            </w:r>
          </w:p>
          <w:p>
            <w:pPr>
              <w:spacing w:after="40"/>
              <w:jc w:val="center"/>
            </w:pPr>
            <w:r>
              <w:rPr>
                <w:rFonts w:ascii="Arial" w:cs="Arial" w:eastAsia="Arial" w:hAnsi="Arial"/>
                <w:b w:val="false"/>
                <w:bCs w:val="false"/>
                <w:color w:val="7B5200"/>
                <w:sz w:val="16"/>
                <w:szCs w:val="16"/>
              </w:rPr>
              <w:t xml:space="preserve">• Lab-Grown Meat Scaling</w:t>
            </w:r>
          </w:p>
          <w:p>
            <w:pPr>
              <w:spacing w:after="0"/>
              <w:jc w:val="center"/>
            </w:pPr>
            <w:r>
              <w:rPr>
                <w:rFonts w:ascii="Arial" w:cs="Arial" w:eastAsia="Arial" w:hAnsi="Arial"/>
                <w:b w:val="false"/>
                <w:bCs w:val="false"/>
                <w:color w:val="7B5200"/>
                <w:sz w:val="16"/>
                <w:szCs w:val="16"/>
              </w:rPr>
              <w:t xml:space="preserve">• Carbon Credit Market Maturation</w:t>
            </w:r>
          </w:p>
        </w:tc>
        <w:tc>
          <w:tcPr>
            <w:tcW w:type="dxa" w:w="2553"/>
            <w:tcBorders>
              <w:top w:val="single" w:color="B0BEC5" w:sz="1"/>
              <w:left w:val="single" w:color="B0BEC5" w:sz="1"/>
              <w:bottom w:val="single" w:color="B0BEC5" w:sz="1"/>
              <w:right w:val="single" w:color="B0BEC5" w:sz="1"/>
            </w:tcBorders>
            <w:shd w:fill="E3F2FD"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A4D80"/>
                <w:sz w:val="16"/>
                <w:szCs w:val="16"/>
              </w:rPr>
              <w:t xml:space="preserve">• Space Commercialization</w:t>
            </w:r>
          </w:p>
          <w:p>
            <w:pPr>
              <w:spacing w:after="40"/>
              <w:jc w:val="center"/>
            </w:pPr>
            <w:r>
              <w:rPr>
                <w:rFonts w:ascii="Arial" w:cs="Arial" w:eastAsia="Arial" w:hAnsi="Arial"/>
                <w:b w:val="false"/>
                <w:bCs w:val="false"/>
                <w:color w:val="1A4D80"/>
                <w:sz w:val="16"/>
                <w:szCs w:val="16"/>
              </w:rPr>
              <w:t xml:space="preserve">• Synthetic Biology Scale-Up</w:t>
            </w:r>
          </w:p>
          <w:p>
            <w:pPr>
              <w:spacing w:after="40"/>
              <w:jc w:val="center"/>
            </w:pPr>
            <w:r>
              <w:rPr>
                <w:rFonts w:ascii="Arial" w:cs="Arial" w:eastAsia="Arial" w:hAnsi="Arial"/>
                <w:b w:val="false"/>
                <w:bCs w:val="false"/>
                <w:color w:val="1A4D80"/>
                <w:sz w:val="16"/>
                <w:szCs w:val="16"/>
              </w:rPr>
              <w:t xml:space="preserve">• Autonomous Mobility</w:t>
            </w:r>
          </w:p>
          <w:p>
            <w:pPr>
              <w:spacing w:after="40"/>
              <w:jc w:val="center"/>
            </w:pPr>
            <w:r>
              <w:rPr>
                <w:rFonts w:ascii="Arial" w:cs="Arial" w:eastAsia="Arial" w:hAnsi="Arial"/>
                <w:b w:val="false"/>
                <w:bCs w:val="false"/>
                <w:color w:val="1A4D80"/>
                <w:sz w:val="16"/>
                <w:szCs w:val="16"/>
              </w:rPr>
              <w:t xml:space="preserve">• Smart City Infrastructure</w:t>
            </w:r>
          </w:p>
          <w:p>
            <w:pPr>
              <w:spacing w:after="0"/>
              <w:jc w:val="center"/>
            </w:pPr>
            <w:r>
              <w:rPr>
                <w:rFonts w:ascii="Arial" w:cs="Arial" w:eastAsia="Arial" w:hAnsi="Arial"/>
                <w:b w:val="false"/>
                <w:bCs w:val="false"/>
                <w:color w:val="1A4D80"/>
                <w:sz w:val="16"/>
                <w:szCs w:val="16"/>
              </w:rPr>
              <w:t xml:space="preserve">• Nuclear Energy Renaissance</w:t>
            </w:r>
          </w:p>
        </w:tc>
        <w:tc>
          <w:tcPr>
            <w:tcW w:type="dxa" w:w="2553"/>
            <w:tcBorders>
              <w:top w:val="single" w:color="B0BEC5" w:sz="1"/>
              <w:left w:val="single" w:color="B0BEC5" w:sz="1"/>
              <w:bottom w:val="single" w:color="B0BEC5" w:sz="1"/>
              <w:right w:val="single" w:color="B0BEC5" w:sz="1"/>
            </w:tcBorders>
            <w:shd w:fill="E8F5E9"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B5E46"/>
                <w:sz w:val="16"/>
                <w:szCs w:val="16"/>
              </w:rPr>
              <w:t xml:space="preserve">• Energy Transition (Net Zero)</w:t>
            </w:r>
          </w:p>
          <w:p>
            <w:pPr>
              <w:spacing w:after="40"/>
              <w:jc w:val="center"/>
            </w:pPr>
            <w:r>
              <w:rPr>
                <w:rFonts w:ascii="Arial" w:cs="Arial" w:eastAsia="Arial" w:hAnsi="Arial"/>
                <w:b w:val="false"/>
                <w:bCs w:val="false"/>
                <w:color w:val="1B5E46"/>
                <w:sz w:val="16"/>
                <w:szCs w:val="16"/>
              </w:rPr>
              <w:t xml:space="preserve">• Global Governance Redesign</w:t>
            </w:r>
          </w:p>
          <w:p>
            <w:pPr>
              <w:spacing w:after="40"/>
              <w:jc w:val="center"/>
            </w:pPr>
            <w:r>
              <w:rPr>
                <w:rFonts w:ascii="Arial" w:cs="Arial" w:eastAsia="Arial" w:hAnsi="Arial"/>
                <w:b w:val="false"/>
                <w:bCs w:val="false"/>
                <w:color w:val="1B5E46"/>
                <w:sz w:val="16"/>
                <w:szCs w:val="16"/>
              </w:rPr>
              <w:t xml:space="preserve">• Youth Bulge (Africa/S.Asia)</w:t>
            </w:r>
          </w:p>
          <w:p>
            <w:pPr>
              <w:spacing w:after="40"/>
              <w:jc w:val="center"/>
            </w:pPr>
            <w:r>
              <w:rPr>
                <w:rFonts w:ascii="Arial" w:cs="Arial" w:eastAsia="Arial" w:hAnsi="Arial"/>
                <w:b w:val="false"/>
                <w:bCs w:val="false"/>
                <w:color w:val="1B5E46"/>
                <w:sz w:val="16"/>
                <w:szCs w:val="16"/>
              </w:rPr>
              <w:t xml:space="preserve">• Mega-Urbanization Wave</w:t>
            </w:r>
          </w:p>
          <w:p>
            <w:pPr>
              <w:spacing w:after="0"/>
              <w:jc w:val="center"/>
            </w:pPr>
            <w:r>
              <w:rPr>
                <w:rFonts w:ascii="Arial" w:cs="Arial" w:eastAsia="Arial" w:hAnsi="Arial"/>
                <w:b w:val="false"/>
                <w:bCs w:val="false"/>
                <w:color w:val="1B5E46"/>
                <w:sz w:val="16"/>
                <w:szCs w:val="16"/>
              </w:rPr>
              <w:t xml:space="preserve">• Digital Sovereignty Regimes</w:t>
            </w:r>
          </w:p>
        </w:tc>
      </w:tr>
      <w:tr>
        <w:tc>
          <w:tcPr>
            <w:tcW w:type="dxa" w:w="1700"/>
            <w:tcBorders>
              <w:top w:val="single" w:color="B0BEC5" w:sz="1"/>
              <w:left w:val="single" w:color="B0BEC5" w:sz="1"/>
              <w:bottom w:val="single" w:color="B0BEC5" w:sz="1"/>
              <w:right w:val="single" w:color="B0BEC5" w:sz="1"/>
            </w:tcBorders>
            <w:shd w:fill="ECEFF1" w:val="clear"/>
            <w:tcMar>
              <w:top w:type="dxa" w:w="60"/>
              <w:left w:type="dxa" w:w="60"/>
              <w:bottom w:type="dxa" w:w="60"/>
              <w:right w:type="dxa" w:w="60"/>
            </w:tcMar>
            <w:vAlign w:val="center"/>
          </w:tcPr>
          <w:p>
            <w:pPr>
              <w:spacing w:after="40"/>
              <w:jc w:val="center"/>
            </w:pPr>
            <w:r>
              <w:rPr>
                <w:rFonts w:ascii="Arial" w:cs="Arial" w:eastAsia="Arial" w:hAnsi="Arial"/>
                <w:b/>
                <w:bCs/>
                <w:color w:val="1B2A4A"/>
                <w:sz w:val="16"/>
                <w:szCs w:val="16"/>
              </w:rPr>
              <w:t xml:space="preserve">LONG-TERM</w:t>
            </w:r>
          </w:p>
          <w:p>
            <w:pPr>
              <w:spacing w:after="40"/>
              <w:jc w:val="center"/>
            </w:pPr>
            <w:r>
              <w:rPr>
                <w:rFonts w:ascii="Arial" w:cs="Arial" w:eastAsia="Arial" w:hAnsi="Arial"/>
                <w:b/>
                <w:bCs/>
                <w:color w:val="1B2A4A"/>
                <w:sz w:val="16"/>
                <w:szCs w:val="16"/>
              </w:rPr>
              <w:t xml:space="preserve">IMPACT</w:t>
            </w:r>
          </w:p>
          <w:p>
            <w:pPr>
              <w:spacing w:after="0"/>
              <w:jc w:val="center"/>
            </w:pPr>
            <w:r>
              <w:rPr>
                <w:rFonts w:ascii="Arial" w:cs="Arial" w:eastAsia="Arial" w:hAnsi="Arial"/>
                <w:b/>
                <w:bCs/>
                <w:color w:val="1B2A4A"/>
                <w:sz w:val="16"/>
                <w:szCs w:val="16"/>
              </w:rPr>
              <w:t xml:space="preserve">(2035+)</w:t>
            </w:r>
          </w:p>
        </w:tc>
        <w:tc>
          <w:tcPr>
            <w:tcW w:type="dxa" w:w="2553"/>
            <w:tcBorders>
              <w:top w:val="single" w:color="B0BEC5" w:sz="1"/>
              <w:left w:val="single" w:color="B0BEC5" w:sz="1"/>
              <w:bottom w:val="single" w:color="B0BEC5" w:sz="1"/>
              <w:right w:val="single" w:color="B0BEC5" w:sz="1"/>
            </w:tcBorders>
            <w:shd w:fill="FFF3E0"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7B5200"/>
                <w:sz w:val="16"/>
                <w:szCs w:val="16"/>
              </w:rPr>
              <w:t xml:space="preserve">• Specific Platform Cycles</w:t>
            </w:r>
          </w:p>
          <w:p>
            <w:pPr>
              <w:spacing w:after="40"/>
              <w:jc w:val="center"/>
            </w:pPr>
            <w:r>
              <w:rPr>
                <w:rFonts w:ascii="Arial" w:cs="Arial" w:eastAsia="Arial" w:hAnsi="Arial"/>
                <w:b w:val="false"/>
                <w:bCs w:val="false"/>
                <w:color w:val="7B5200"/>
                <w:sz w:val="16"/>
                <w:szCs w:val="16"/>
              </w:rPr>
              <w:t xml:space="preserve">(e.g. current chip nodes)</w:t>
            </w:r>
          </w:p>
          <w:p>
            <w:pPr>
              <w:spacing w:after="40"/>
              <w:jc w:val="center"/>
            </w:pPr>
            <w:r>
              <w:rPr>
                <w:rFonts w:ascii="Arial" w:cs="Arial" w:eastAsia="Arial" w:hAnsi="Arial"/>
                <w:b w:val="false"/>
                <w:bCs w:val="false"/>
                <w:color w:val="7B5200"/>
                <w:sz w:val="16"/>
                <w:szCs w:val="16"/>
              </w:rPr>
              <w:t xml:space="preserve">• Satellite Constellation</w:t>
            </w:r>
          </w:p>
          <w:p>
            <w:pPr>
              <w:spacing w:after="0"/>
              <w:jc w:val="center"/>
            </w:pPr>
            <w:r>
              <w:rPr>
                <w:rFonts w:ascii="Arial" w:cs="Arial" w:eastAsia="Arial" w:hAnsi="Arial"/>
                <w:b w:val="false"/>
                <w:bCs w:val="false"/>
                <w:color w:val="7B5200"/>
                <w:sz w:val="16"/>
                <w:szCs w:val="16"/>
              </w:rPr>
              <w:t xml:space="preserve">Generation Turnover</w:t>
            </w:r>
          </w:p>
        </w:tc>
        <w:tc>
          <w:tcPr>
            <w:tcW w:type="dxa" w:w="2553"/>
            <w:tcBorders>
              <w:top w:val="single" w:color="B0BEC5" w:sz="1"/>
              <w:left w:val="single" w:color="B0BEC5" w:sz="1"/>
              <w:bottom w:val="single" w:color="B0BEC5" w:sz="1"/>
              <w:right w:val="single" w:color="B0BEC5" w:sz="1"/>
            </w:tcBorders>
            <w:shd w:fill="E3F2FD"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A4D80"/>
                <w:sz w:val="16"/>
                <w:szCs w:val="16"/>
              </w:rPr>
              <w:t xml:space="preserve">• Quantum Computing</w:t>
            </w:r>
          </w:p>
          <w:p>
            <w:pPr>
              <w:spacing w:after="40"/>
              <w:jc w:val="center"/>
            </w:pPr>
            <w:r>
              <w:rPr>
                <w:rFonts w:ascii="Arial" w:cs="Arial" w:eastAsia="Arial" w:hAnsi="Arial"/>
                <w:b w:val="false"/>
                <w:bCs w:val="false"/>
                <w:color w:val="1A4D80"/>
                <w:sz w:val="16"/>
                <w:szCs w:val="16"/>
              </w:rPr>
              <w:t xml:space="preserve">• Longevity / Anti-Aging Tech</w:t>
            </w:r>
          </w:p>
          <w:p>
            <w:pPr>
              <w:spacing w:after="40"/>
              <w:jc w:val="center"/>
            </w:pPr>
            <w:r>
              <w:rPr>
                <w:rFonts w:ascii="Arial" w:cs="Arial" w:eastAsia="Arial" w:hAnsi="Arial"/>
                <w:b w:val="false"/>
                <w:bCs w:val="false"/>
                <w:color w:val="1A4D80"/>
                <w:sz w:val="16"/>
                <w:szCs w:val="16"/>
              </w:rPr>
              <w:t xml:space="preserve">• Space Resource Economy</w:t>
            </w:r>
          </w:p>
          <w:p>
            <w:pPr>
              <w:spacing w:after="40"/>
              <w:jc w:val="center"/>
            </w:pPr>
            <w:r>
              <w:rPr>
                <w:rFonts w:ascii="Arial" w:cs="Arial" w:eastAsia="Arial" w:hAnsi="Arial"/>
                <w:b w:val="false"/>
                <w:bCs w:val="false"/>
                <w:color w:val="1A4D80"/>
                <w:sz w:val="16"/>
                <w:szCs w:val="16"/>
              </w:rPr>
              <w:t xml:space="preserve">• Brain-Computer Interfaces</w:t>
            </w:r>
          </w:p>
          <w:p>
            <w:pPr>
              <w:spacing w:after="0"/>
              <w:jc w:val="center"/>
            </w:pPr>
            <w:r>
              <w:rPr>
                <w:rFonts w:ascii="Arial" w:cs="Arial" w:eastAsia="Arial" w:hAnsi="Arial"/>
                <w:b w:val="false"/>
                <w:bCs w:val="false"/>
                <w:color w:val="1A4D80"/>
                <w:sz w:val="16"/>
                <w:szCs w:val="16"/>
              </w:rPr>
              <w:t xml:space="preserve">• Fusion Energy</w:t>
            </w:r>
          </w:p>
        </w:tc>
        <w:tc>
          <w:tcPr>
            <w:tcW w:type="dxa" w:w="2553"/>
            <w:tcBorders>
              <w:top w:val="single" w:color="B0BEC5" w:sz="1"/>
              <w:left w:val="single" w:color="B0BEC5" w:sz="1"/>
              <w:bottom w:val="single" w:color="B0BEC5" w:sz="1"/>
              <w:right w:val="single" w:color="B0BEC5" w:sz="1"/>
            </w:tcBorders>
            <w:shd w:fill="E8F5E9" w:val="clear"/>
            <w:tcMar>
              <w:top w:type="dxa" w:w="60"/>
              <w:left w:type="dxa" w:w="60"/>
              <w:bottom w:type="dxa" w:w="60"/>
              <w:right w:type="dxa" w:w="60"/>
            </w:tcMar>
            <w:vAlign w:val="center"/>
          </w:tcPr>
          <w:p>
            <w:pPr>
              <w:spacing w:after="40"/>
              <w:jc w:val="center"/>
            </w:pPr>
            <w:r>
              <w:rPr>
                <w:rFonts w:ascii="Arial" w:cs="Arial" w:eastAsia="Arial" w:hAnsi="Arial"/>
                <w:b w:val="false"/>
                <w:bCs w:val="false"/>
                <w:color w:val="1B5E46"/>
                <w:sz w:val="16"/>
                <w:szCs w:val="16"/>
              </w:rPr>
              <w:t xml:space="preserve">• Climate Tipping Points</w:t>
            </w:r>
          </w:p>
          <w:p>
            <w:pPr>
              <w:spacing w:after="40"/>
              <w:jc w:val="center"/>
            </w:pPr>
            <w:r>
              <w:rPr>
                <w:rFonts w:ascii="Arial" w:cs="Arial" w:eastAsia="Arial" w:hAnsi="Arial"/>
                <w:b w:val="false"/>
                <w:bCs w:val="false"/>
                <w:color w:val="1B5E46"/>
                <w:sz w:val="16"/>
                <w:szCs w:val="16"/>
              </w:rPr>
              <w:t xml:space="preserve">• Super-Aging / Silver Economy</w:t>
            </w:r>
          </w:p>
          <w:p>
            <w:pPr>
              <w:spacing w:after="40"/>
              <w:jc w:val="center"/>
            </w:pPr>
            <w:r>
              <w:rPr>
                <w:rFonts w:ascii="Arial" w:cs="Arial" w:eastAsia="Arial" w:hAnsi="Arial"/>
                <w:b w:val="false"/>
                <w:bCs w:val="false"/>
                <w:color w:val="1B5E46"/>
                <w:sz w:val="16"/>
                <w:szCs w:val="16"/>
              </w:rPr>
              <w:t xml:space="preserve">• Bio-Digital Convergence</w:t>
            </w:r>
          </w:p>
          <w:p>
            <w:pPr>
              <w:spacing w:after="40"/>
              <w:jc w:val="center"/>
            </w:pPr>
            <w:r>
              <w:rPr>
                <w:rFonts w:ascii="Arial" w:cs="Arial" w:eastAsia="Arial" w:hAnsi="Arial"/>
                <w:b w:val="false"/>
                <w:bCs w:val="false"/>
                <w:color w:val="1B5E46"/>
                <w:sz w:val="16"/>
                <w:szCs w:val="16"/>
              </w:rPr>
              <w:t xml:space="preserve">• Artificial General Intelligence</w:t>
            </w:r>
          </w:p>
          <w:p>
            <w:pPr>
              <w:spacing w:after="40"/>
              <w:jc w:val="center"/>
            </w:pPr>
            <w:r>
              <w:rPr>
                <w:rFonts w:ascii="Arial" w:cs="Arial" w:eastAsia="Arial" w:hAnsi="Arial"/>
                <w:b w:val="false"/>
                <w:bCs w:val="false"/>
                <w:color w:val="1B5E46"/>
                <w:sz w:val="16"/>
                <w:szCs w:val="16"/>
              </w:rPr>
              <w:t xml:space="preserve">• Global Water Crisis</w:t>
            </w:r>
          </w:p>
          <w:p>
            <w:pPr>
              <w:spacing w:after="0"/>
              <w:jc w:val="center"/>
            </w:pPr>
            <w:r>
              <w:rPr>
                <w:rFonts w:ascii="Arial" w:cs="Arial" w:eastAsia="Arial" w:hAnsi="Arial"/>
                <w:b w:val="false"/>
                <w:bCs w:val="false"/>
                <w:color w:val="1B5E46"/>
                <w:sz w:val="16"/>
                <w:szCs w:val="16"/>
              </w:rPr>
              <w:t xml:space="preserve">• Ocean Acidification</w:t>
            </w:r>
          </w:p>
        </w:tc>
      </w:tr>
    </w:tbl>
    <w:p>
      <w:pPr>
        <w:spacing w:after="200"/>
      </w:pPr>
    </w:p>
    <w:p>
      <w:pPr>
        <w:pStyle w:val="Heading3"/>
      </w:pPr>
      <w:r>
        <w:rPr>
          <w:rFonts w:ascii="Arial" w:cs="Arial" w:eastAsia="Arial" w:hAnsi="Arial"/>
        </w:rPr>
        <w:t xml:space="preserve">Reading the Color Zones</w:t>
      </w:r>
    </w:p>
    <w:p>
      <w:pPr>
        <w:pStyle w:val="ListParagraph"/>
        <w:numPr>
          <w:ilvl w:val="0"/>
          <w:numId w:val="2"/>
        </w:numPr>
        <w:spacing w:after="100"/>
      </w:pPr>
      <w:r>
        <w:rPr>
          <w:rFonts w:ascii="Arial" w:cs="Arial" w:eastAsia="Arial" w:hAnsi="Arial"/>
          <w:color w:val="1C1C1C"/>
          <w:sz w:val="22"/>
          <w:szCs w:val="22"/>
        </w:rPr>
        <w:t xml:space="preserve">Orange zone (Short Impulse): Cyclical, policy-driven, or hype-driven. Act fast, but don’t over-invest—these will fade or transform within 2–5 years.</w:t>
      </w:r>
    </w:p>
    <w:p>
      <w:pPr>
        <w:pStyle w:val="ListParagraph"/>
        <w:numPr>
          <w:ilvl w:val="0"/>
          <w:numId w:val="2"/>
        </w:numPr>
        <w:spacing w:after="100"/>
      </w:pPr>
      <w:r>
        <w:rPr>
          <w:rFonts w:ascii="Arial" w:cs="Arial" w:eastAsia="Arial" w:hAnsi="Arial"/>
          <w:color w:val="1C1C1C"/>
          <w:sz w:val="22"/>
          <w:szCs w:val="22"/>
        </w:rPr>
        <w:t xml:space="preserve">Blue zone (Medium Impulse): Strategic investment windows. First-movers who commit capital and talent over 5–15 years build durable advantage.</w:t>
      </w:r>
    </w:p>
    <w:p>
      <w:pPr>
        <w:pStyle w:val="ListParagraph"/>
        <w:numPr>
          <w:ilvl w:val="0"/>
          <w:numId w:val="2"/>
        </w:numPr>
        <w:spacing w:after="100"/>
      </w:pPr>
      <w:r>
        <w:rPr>
          <w:rFonts w:ascii="Arial" w:cs="Arial" w:eastAsia="Arial" w:hAnsi="Arial"/>
          <w:color w:val="1C1C1C"/>
          <w:sz w:val="22"/>
          <w:szCs w:val="22"/>
        </w:rPr>
        <w:t xml:space="preserve">Green zone (Long Impulse): Civilizational-scale shifts. Require deep institutional adaptation and will reshape the world your successors inherit.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Part 2: Short-Impulse Trends (2–5 Year Duration)</w:t>
      </w:r>
    </w:p>
    <w:p>
      <w:pPr>
        <w:spacing w:after="160"/>
        <w:jc w:val="both"/>
      </w:pPr>
      <w:r>
        <w:rPr>
          <w:rFonts w:ascii="Arial" w:cs="Arial" w:eastAsia="Arial" w:hAnsi="Arial"/>
          <w:color w:val="1C1C1C"/>
          <w:sz w:val="22"/>
          <w:szCs w:val="22"/>
        </w:rPr>
        <w:t xml:space="preserve">These trends are intense, visible, and often dominate headlines—but they will fade, transform, or be absorbed into longer-duration dynamics within a few years. The strategic imperative is to respond tactically without over-committing structural resources.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2.1 The 2025 Tariff Shock Cycle</w:t>
            </w:r>
            <w:r>
              <w:rPr>
                <w:rFonts w:ascii="Arial" w:cs="Arial" w:eastAsia="Arial" w:hAnsi="Arial"/>
                <w:i/>
                <w:iCs/>
                <w:color w:val="2E6B9E"/>
                <w:sz w:val="18"/>
                <w:szCs w:val="18"/>
              </w:rPr>
              <w:t xml:space="preserve">   [Near-Term Impact / Short Impulse]</w:t>
            </w:r>
          </w:p>
          <w:p>
            <w:pPr>
              <w:spacing w:after="0"/>
              <w:jc w:val="both"/>
            </w:pPr>
            <w:r>
              <w:rPr>
                <w:rFonts w:ascii="Arial" w:cs="Arial" w:eastAsia="Arial" w:hAnsi="Arial"/>
                <w:color w:val="1C1C1C"/>
                <w:sz w:val="21"/>
                <w:szCs w:val="21"/>
              </w:rPr>
              <w:t xml:space="preserve">US tariffs peaked at 145% on Chinese imports before settling to 30%. CEPR projects a 5.5–8.5% contraction in global trade. But tariff levels are inherently volatile—subject to electoral cycles, deal-making, and retaliatory dynamics. The specific rates will shift within 2–3 years; the strategic lesson—that trade is now a primary tool of statecraft—endures far longer and belongs to a different matrix quadrant.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2.2 The Generative AI Hype Correction</w:t>
            </w:r>
            <w:r>
              <w:rPr>
                <w:rFonts w:ascii="Arial" w:cs="Arial" w:eastAsia="Arial" w:hAnsi="Arial"/>
                <w:i/>
                <w:iCs/>
                <w:color w:val="2E6B9E"/>
                <w:sz w:val="18"/>
                <w:szCs w:val="18"/>
              </w:rPr>
              <w:t xml:space="preserve">   [Near-Term Impact / Short Impulse]</w:t>
            </w:r>
          </w:p>
          <w:p>
            <w:pPr>
              <w:spacing w:after="0"/>
              <w:jc w:val="both"/>
            </w:pPr>
            <w:r>
              <w:rPr>
                <w:rFonts w:ascii="Arial" w:cs="Arial" w:eastAsia="Arial" w:hAnsi="Arial"/>
                <w:color w:val="1C1C1C"/>
                <w:sz w:val="21"/>
                <w:szCs w:val="21"/>
              </w:rPr>
              <w:t xml:space="preserve">Despite $200B+ in AI infrastructure investment, only 11% of organizations have agentic solutions in production (Deloitte). Enterprise buyers are growing fatigued by claims wars, and CFOs demand measurable ROI. This is a classic 2–3 year technology correction within a much longer AI adoption arc. The correction will flush out weaker players and refocus the market on demonstrated value.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2.3 Post-Quantum Cryptography Migration</w:t>
            </w:r>
            <w:r>
              <w:rPr>
                <w:rFonts w:ascii="Arial" w:cs="Arial" w:eastAsia="Arial" w:hAnsi="Arial"/>
                <w:i/>
                <w:iCs/>
                <w:color w:val="2E6B9E"/>
                <w:sz w:val="18"/>
                <w:szCs w:val="18"/>
              </w:rPr>
              <w:t xml:space="preserve">   [Near-Term Impact / Short Impulse]</w:t>
            </w:r>
          </w:p>
          <w:p>
            <w:pPr>
              <w:spacing w:after="0"/>
              <w:jc w:val="both"/>
            </w:pPr>
            <w:r>
              <w:rPr>
                <w:rFonts w:ascii="Arial" w:cs="Arial" w:eastAsia="Arial" w:hAnsi="Arial"/>
                <w:color w:val="1C1C1C"/>
                <w:sz w:val="21"/>
                <w:szCs w:val="21"/>
              </w:rPr>
              <w:t xml:space="preserve">NIST recommends deprecating vulnerable encryption after 2030. This creates a 3–5 year migration window that is urgent but bounded. Organizations must inventory cryptographic systems, transition to quantum-resistant algorithms, and manage the complexity of legacy infrastructure—but once complete, this specific task ends. The broader quantum threat (see 4.1) persists much longer.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2.4 Deepfake / AI Fraud Surge</w:t>
            </w:r>
            <w:r>
              <w:rPr>
                <w:rFonts w:ascii="Arial" w:cs="Arial" w:eastAsia="Arial" w:hAnsi="Arial"/>
                <w:i/>
                <w:iCs/>
                <w:color w:val="2E6B9E"/>
                <w:sz w:val="18"/>
                <w:szCs w:val="18"/>
              </w:rPr>
              <w:t xml:space="preserve">   [Near-Term Impact / Short Impulse]</w:t>
            </w:r>
          </w:p>
          <w:p>
            <w:pPr>
              <w:spacing w:after="0"/>
              <w:jc w:val="both"/>
            </w:pPr>
            <w:r>
              <w:rPr>
                <w:rFonts w:ascii="Arial" w:cs="Arial" w:eastAsia="Arial" w:hAnsi="Arial"/>
                <w:color w:val="1C1C1C"/>
                <w:sz w:val="21"/>
                <w:szCs w:val="21"/>
              </w:rPr>
              <w:t xml:space="preserve">AI-powered deepfakes were involved in 30%+ of corporate impersonation attacks in 2025 (Cyble). Deepfake files surged from 500K (2023) to a projected 8M (2025). Gartner predicts by 2026, 30% of enterprises will no longer trust standalone identity verification. This is acute but will be partially contained within 3–5 years as detection tools, regulations (US TAKE IT DOWN Act), and new authentication standards mature.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2.5 Critical Minerals Price Volatility</w:t>
            </w:r>
            <w:r>
              <w:rPr>
                <w:rFonts w:ascii="Arial" w:cs="Arial" w:eastAsia="Arial" w:hAnsi="Arial"/>
                <w:i/>
                <w:iCs/>
                <w:color w:val="2E6B9E"/>
                <w:sz w:val="18"/>
                <w:szCs w:val="18"/>
              </w:rPr>
              <w:t xml:space="preserve">   [Near-Term/Medium Impact / Short Impulse]</w:t>
            </w:r>
          </w:p>
          <w:p>
            <w:pPr>
              <w:spacing w:after="0"/>
              <w:jc w:val="both"/>
            </w:pPr>
            <w:r>
              <w:rPr>
                <w:rFonts w:ascii="Arial" w:cs="Arial" w:eastAsia="Arial" w:hAnsi="Arial"/>
                <w:color w:val="1C1C1C"/>
                <w:sz w:val="21"/>
                <w:szCs w:val="21"/>
              </w:rPr>
              <w:t xml:space="preserve">UNCTAD reports key clean-energy mineral prices fell 18–39% below 2021–22 peaks. Mining investment growth collapsed from 30% (2022) to 5% (2024). Export controls are tightening (China on rare earths, DRC on cobalt). These price cycles are intense but typically 3–5 year swings that influence the pace of the longer-duration energy transition.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2.6 Spatial Computing / Metaverse Hype Cycle</w:t>
            </w:r>
            <w:r>
              <w:rPr>
                <w:rFonts w:ascii="Arial" w:cs="Arial" w:eastAsia="Arial" w:hAnsi="Arial"/>
                <w:i/>
                <w:iCs/>
                <w:color w:val="2E6B9E"/>
                <w:sz w:val="18"/>
                <w:szCs w:val="18"/>
              </w:rPr>
              <w:t xml:space="preserve">   [Medium-Term Impact / Short Impulse]</w:t>
            </w:r>
          </w:p>
          <w:p>
            <w:pPr>
              <w:spacing w:after="0"/>
              <w:jc w:val="both"/>
            </w:pPr>
            <w:r>
              <w:rPr>
                <w:rFonts w:ascii="Arial" w:cs="Arial" w:eastAsia="Arial" w:hAnsi="Arial"/>
                <w:color w:val="1C1C1C"/>
                <w:sz w:val="21"/>
                <w:szCs w:val="21"/>
              </w:rPr>
              <w:t xml:space="preserve">The metaverse vision has evolved into spatial computing, AR/VR, and digital twins for enterprise use. Apple Vision Pro launched in 2024; enterprise digital twin adoption is growing. But consumer mass adoption remains elusive. The specific hardware and platform cycles will shift rapidly—today’s products will be obsolete within 5–8 years, though immersive computing as a concept persists.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2.7 Lab-Grown Meat Scaling Attempt</w:t>
            </w:r>
            <w:r>
              <w:rPr>
                <w:rFonts w:ascii="Arial" w:cs="Arial" w:eastAsia="Arial" w:hAnsi="Arial"/>
                <w:i/>
                <w:iCs/>
                <w:color w:val="2E6B9E"/>
                <w:sz w:val="18"/>
                <w:szCs w:val="18"/>
              </w:rPr>
              <w:t xml:space="preserve">   [Medium-Term Impact / Short Impulse]</w:t>
            </w:r>
          </w:p>
          <w:p>
            <w:pPr>
              <w:spacing w:after="0"/>
              <w:jc w:val="both"/>
            </w:pPr>
            <w:r>
              <w:rPr>
                <w:rFonts w:ascii="Arial" w:cs="Arial" w:eastAsia="Arial" w:hAnsi="Arial"/>
                <w:color w:val="1C1C1C"/>
                <w:sz w:val="21"/>
                <w:szCs w:val="21"/>
              </w:rPr>
              <w:t xml:space="preserve">Cultivated meat achieved regulatory approval in select markets (Singapore, US) but faces severe scaling and cost challenges. Current production costs remain 5–10x conventional meat. This specific technology generation will either break through or pivot within 3–5 years, though the broader alternative protein trend has longer duration.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2.8 Carbon Credit Market Maturation</w:t>
            </w:r>
            <w:r>
              <w:rPr>
                <w:rFonts w:ascii="Arial" w:cs="Arial" w:eastAsia="Arial" w:hAnsi="Arial"/>
                <w:i/>
                <w:iCs/>
                <w:color w:val="2E6B9E"/>
                <w:sz w:val="18"/>
                <w:szCs w:val="18"/>
              </w:rPr>
              <w:t xml:space="preserve">   [Medium-Term Impact / Short Impulse]</w:t>
            </w:r>
          </w:p>
          <w:p>
            <w:pPr>
              <w:spacing w:after="0"/>
              <w:jc w:val="both"/>
            </w:pPr>
            <w:r>
              <w:rPr>
                <w:rFonts w:ascii="Arial" w:cs="Arial" w:eastAsia="Arial" w:hAnsi="Arial"/>
                <w:color w:val="1C1C1C"/>
                <w:sz w:val="21"/>
                <w:szCs w:val="21"/>
              </w:rPr>
              <w:t xml:space="preserve">Voluntary carbon markets peaked at $2B in 2021, then contracted amid quality concerns. New integrity standards (ICVCM, SBTi) are reshaping the market. This specific market cycle will resolve within 3–5 years as quality frameworks stabilize—though the underlying compliance carbon market is a long-impulse trend.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Part 3: Medium-Impulse Trends (5–15 Year Duration)</w:t>
      </w:r>
    </w:p>
    <w:p>
      <w:pPr>
        <w:spacing w:after="160"/>
        <w:jc w:val="both"/>
      </w:pPr>
      <w:r>
        <w:rPr>
          <w:rFonts w:ascii="Arial" w:cs="Arial" w:eastAsia="Arial" w:hAnsi="Arial"/>
          <w:color w:val="1C1C1C"/>
          <w:sz w:val="22"/>
          <w:szCs w:val="22"/>
        </w:rPr>
        <w:t xml:space="preserve">These are the strategic investment windows. They reward organizations that commit capital, talent, and institutional attention over multi-year horizons. First-mover advantages are real but require sustained commitment.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 The Agentic AI Revolution</w:t>
            </w:r>
            <w:r>
              <w:rPr>
                <w:rFonts w:ascii="Arial" w:cs="Arial" w:eastAsia="Arial" w:hAnsi="Arial"/>
                <w:i/>
                <w:iCs/>
                <w:color w:val="2E6B9E"/>
                <w:sz w:val="18"/>
                <w:szCs w:val="18"/>
              </w:rPr>
              <w:t xml:space="preserve">   [Near-Term Impact / Medium Impulse]</w:t>
            </w:r>
          </w:p>
          <w:p>
            <w:pPr>
              <w:spacing w:after="0"/>
              <w:jc w:val="both"/>
            </w:pPr>
            <w:r>
              <w:rPr>
                <w:rFonts w:ascii="Arial" w:cs="Arial" w:eastAsia="Arial" w:hAnsi="Arial"/>
                <w:color w:val="1C1C1C"/>
                <w:sz w:val="21"/>
                <w:szCs w:val="21"/>
              </w:rPr>
              <w:t xml:space="preserve">Gartner: 40% of enterprise apps will embed AI agents by end of 2026 (up from &lt;5% in early 2025). Market: $4.54B (2025) to $98.26B by 2033 (CAGR ~47%). Companies report 171% average ROI, US enterprises 192%. Over 1 billion AI agents projected operational by end 2026 (IBM/Salesforce). Yet 42% of organizations lack any agentic strategy, and Gartner warns 40%+ of projects face cancellation by 2027 without governance. This is a 5–15 year transformation window.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171%</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Average ROI from agentic AI deployments; US enterprises report 192% (PwC / KPMG surveys, 2025).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3.2 The Insurance / Uninsurability Crisis</w:t>
            </w:r>
            <w:r>
              <w:rPr>
                <w:rFonts w:ascii="Arial" w:cs="Arial" w:eastAsia="Arial" w:hAnsi="Arial"/>
                <w:i/>
                <w:iCs/>
                <w:color w:val="2E6B9E"/>
                <w:sz w:val="18"/>
                <w:szCs w:val="18"/>
              </w:rPr>
              <w:t xml:space="preserve">   [Near-Term Impact / Medium Impulse]</w:t>
            </w:r>
          </w:p>
          <w:p>
            <w:pPr>
              <w:spacing w:after="0"/>
              <w:jc w:val="both"/>
            </w:pPr>
            <w:r>
              <w:rPr>
                <w:rFonts w:ascii="Arial" w:cs="Arial" w:eastAsia="Arial" w:hAnsi="Arial"/>
                <w:color w:val="1C1C1C"/>
                <w:sz w:val="21"/>
                <w:szCs w:val="21"/>
              </w:rPr>
              <w:t xml:space="preserve">Global insured catastrophe losses: $137B in 2024 (10-year average: $98B), on track for $145B in 2025. Allianz warns of an “uninsurability threshold.” California’s insurer of last resort quadrupled from 140K to 610K policyholders since 2018. In the UK, 3M homes could become worthless within 30 years. Financial cascade: uninsurable property cannot be mortgaged, credit markets freeze, regions face economic stranding. This crisis will take 5–15 years to resolve through policy, market, and infrastructure responses.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$560B</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Projected annual uninsured climate disaster losses by 2030 (UN)—double current levels.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3.3 The Great Supply Chain Rearrangement</w:t>
            </w:r>
            <w:r>
              <w:rPr>
                <w:rFonts w:ascii="Arial" w:cs="Arial" w:eastAsia="Arial" w:hAnsi="Arial"/>
                <w:i/>
                <w:iCs/>
                <w:color w:val="2E6B9E"/>
                <w:sz w:val="18"/>
                <w:szCs w:val="18"/>
              </w:rPr>
              <w:t xml:space="preserve">   [Near-Term Impact / Medium Impulse]</w:t>
            </w:r>
          </w:p>
          <w:p>
            <w:pPr>
              <w:spacing w:after="0"/>
              <w:jc w:val="both"/>
            </w:pPr>
            <w:r>
              <w:rPr>
                <w:rFonts w:ascii="Arial" w:cs="Arial" w:eastAsia="Arial" w:hAnsi="Arial"/>
                <w:color w:val="1C1C1C"/>
                <w:sz w:val="21"/>
                <w:szCs w:val="21"/>
              </w:rPr>
              <w:t xml:space="preserve">China’s share of US imports declining sharply since 2018; Vietnam, Mexico, Taiwan, India absorbing shares. Deloitte: 40% of US companies will relocate supply chains to North America by 2026. But the reshoring paradox: nearly half say reshoring would more than double costs; 500K manufacturing jobs remain unfilled. This rearrangement plays out over a decade.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3.4 AI Cybersecurity Arms Race</w:t>
            </w:r>
            <w:r>
              <w:rPr>
                <w:rFonts w:ascii="Arial" w:cs="Arial" w:eastAsia="Arial" w:hAnsi="Arial"/>
                <w:i/>
                <w:iCs/>
                <w:color w:val="2E6B9E"/>
                <w:sz w:val="18"/>
                <w:szCs w:val="18"/>
              </w:rPr>
              <w:t xml:space="preserve">   [Near-Term Impact / Medium Impulse]</w:t>
            </w:r>
          </w:p>
          <w:p>
            <w:pPr>
              <w:spacing w:after="0"/>
              <w:jc w:val="both"/>
            </w:pPr>
            <w:r>
              <w:rPr>
                <w:rFonts w:ascii="Arial" w:cs="Arial" w:eastAsia="Arial" w:hAnsi="Arial"/>
                <w:color w:val="1C1C1C"/>
                <w:sz w:val="21"/>
                <w:szCs w:val="21"/>
              </w:rPr>
              <w:t xml:space="preserve">77% of CISOs identify AI-generated phishing as a serious emerging threat (Hornetsecurity). Malware-laden emails surged 131% YoY in 2025. Ransomware attacks on critical industries grew 34%. AI agents create new insider threat vectors. This is a 5–15 year escalating competition between AI-powered attack and defense capabilities, with no stable equilibrium in sight.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3.5 Remote Work Normalization</w:t>
            </w:r>
            <w:r>
              <w:rPr>
                <w:rFonts w:ascii="Arial" w:cs="Arial" w:eastAsia="Arial" w:hAnsi="Arial"/>
                <w:i/>
                <w:iCs/>
                <w:color w:val="2E6B9E"/>
                <w:sz w:val="18"/>
                <w:szCs w:val="18"/>
              </w:rPr>
              <w:t xml:space="preserve">   [Near-Term Impact / Medium Impulse]</w:t>
            </w:r>
          </w:p>
          <w:p>
            <w:pPr>
              <w:spacing w:after="0"/>
              <w:jc w:val="both"/>
            </w:pPr>
            <w:r>
              <w:rPr>
                <w:rFonts w:ascii="Arial" w:cs="Arial" w:eastAsia="Arial" w:hAnsi="Arial"/>
                <w:color w:val="1C1C1C"/>
                <w:sz w:val="21"/>
                <w:szCs w:val="21"/>
              </w:rPr>
              <w:t xml:space="preserve">The pandemic-accelerated shift to remote and hybrid work is settling into permanent structural change. This reshapes commercial real estate markets, urban geography, talent competition, and management practice over a 5–15 year period as organizations, cities, and workers find new equilibria.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3.6 Space Commercialization Wave</w:t>
            </w:r>
            <w:r>
              <w:rPr>
                <w:rFonts w:ascii="Arial" w:cs="Arial" w:eastAsia="Arial" w:hAnsi="Arial"/>
                <w:i/>
                <w:iCs/>
                <w:color w:val="2E6B9E"/>
                <w:sz w:val="18"/>
                <w:szCs w:val="18"/>
              </w:rPr>
              <w:t xml:space="preserve">   [Medium-Term Impact / Medium Impulse]</w:t>
            </w:r>
          </w:p>
          <w:p>
            <w:pPr>
              <w:spacing w:after="0"/>
              <w:jc w:val="both"/>
            </w:pPr>
            <w:r>
              <w:rPr>
                <w:rFonts w:ascii="Arial" w:cs="Arial" w:eastAsia="Arial" w:hAnsi="Arial"/>
                <w:color w:val="1C1C1C"/>
                <w:sz w:val="21"/>
                <w:szCs w:val="21"/>
              </w:rPr>
              <w:t xml:space="preserve">Global space economy: $613B in 2024 (record), 78% from commercial sector (Space Foundation). Projected $1T+ by 2032, $2T by 2040 (PwC). Launch every 28 hours in H1 2025. Reusable rockets cut costs 80%+. Satellite broadband (Starlink, Kuiper), earth observation analytics, and commercial stations (Axiom, 2027–28) are near-term value drivers. 10–15 year wave before the next phase (lunar resources, in-orbit manufacturing) takes over.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$613B</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Global space economy 2024. Launch to orbit every 28 hours H1 2025. Projected $1T by 2032.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3.7 Synthetic Biology at Scale</w:t>
            </w:r>
            <w:r>
              <w:rPr>
                <w:rFonts w:ascii="Arial" w:cs="Arial" w:eastAsia="Arial" w:hAnsi="Arial"/>
                <w:i/>
                <w:iCs/>
                <w:color w:val="2E6B9E"/>
                <w:sz w:val="18"/>
                <w:szCs w:val="18"/>
              </w:rPr>
              <w:t xml:space="preserve">   [Medium-Term Impact / Medium Impulse]</w:t>
            </w:r>
          </w:p>
          <w:p>
            <w:pPr>
              <w:spacing w:after="0"/>
              <w:jc w:val="both"/>
            </w:pPr>
            <w:r>
              <w:rPr>
                <w:rFonts w:ascii="Arial" w:cs="Arial" w:eastAsia="Arial" w:hAnsi="Arial"/>
                <w:color w:val="1C1C1C"/>
                <w:sz w:val="21"/>
                <w:szCs w:val="21"/>
              </w:rPr>
              <w:t xml:space="preserve">Market: ~$24B (2025) to $70B by 2030 (CAGR ~24%, Arthur D. Little). Accelerating across drug discovery, sustainable materials, food systems (precision fermentation), urban sustainability. South Korea passed a Synthetic Biology Promotion Act in March 2025. OECD and Stanford highlight SynBio as transformative. But regulatory frameworks and societal acceptance lag, extending the timeline to full commercial scale.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3.8 Autonomous Mobility</w:t>
            </w:r>
            <w:r>
              <w:rPr>
                <w:rFonts w:ascii="Arial" w:cs="Arial" w:eastAsia="Arial" w:hAnsi="Arial"/>
                <w:i/>
                <w:iCs/>
                <w:color w:val="2E6B9E"/>
                <w:sz w:val="18"/>
                <w:szCs w:val="18"/>
              </w:rPr>
              <w:t xml:space="preserve">   [Medium-Term Impact / Medium Impulse]</w:t>
            </w:r>
          </w:p>
          <w:p>
            <w:pPr>
              <w:spacing w:after="0"/>
              <w:jc w:val="both"/>
            </w:pPr>
            <w:r>
              <w:rPr>
                <w:rFonts w:ascii="Arial" w:cs="Arial" w:eastAsia="Arial" w:hAnsi="Arial"/>
                <w:color w:val="1C1C1C"/>
                <w:sz w:val="21"/>
                <w:szCs w:val="21"/>
              </w:rPr>
              <w:t xml:space="preserve">Commercial robotaxi services expanding in US and Chinese cities; autonomous trucking corridors piloted. Timeline to mass adoption: 8–15 years due to regulatory, liability, and infrastructure hurdles. Once mature, reshapes urban planning, logistics, and labor markets for a decade before the next transport paradigm.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3.9 Smart City Infrastructure Build-Out</w:t>
            </w:r>
            <w:r>
              <w:rPr>
                <w:rFonts w:ascii="Arial" w:cs="Arial" w:eastAsia="Arial" w:hAnsi="Arial"/>
                <w:i/>
                <w:iCs/>
                <w:color w:val="2E6B9E"/>
                <w:sz w:val="18"/>
                <w:szCs w:val="18"/>
              </w:rPr>
              <w:t xml:space="preserve">   [Medium-Term Impact / Medium Impulse]</w:t>
            </w:r>
          </w:p>
          <w:p>
            <w:pPr>
              <w:spacing w:after="0"/>
              <w:jc w:val="both"/>
            </w:pPr>
            <w:r>
              <w:rPr>
                <w:rFonts w:ascii="Arial" w:cs="Arial" w:eastAsia="Arial" w:hAnsi="Arial"/>
                <w:color w:val="1C1C1C"/>
                <w:sz w:val="21"/>
                <w:szCs w:val="21"/>
              </w:rPr>
              <w:t xml:space="preserve">Smart cities market projected at $1.45T by 2030 (MarketsandMarkets). 43 megacities of 10M+ by 2030 (UN). Driven by IoT, 5G, AI-powered traffic and energy management. Asia Pacific leads with India’s Smart Cities Mission and China’s New Urbanization Plan. This is a 10–15 year infrastructure investment wave as cities retrofit for intelligence.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3.10 Nuclear Energy Renaissance</w:t>
            </w:r>
            <w:r>
              <w:rPr>
                <w:rFonts w:ascii="Arial" w:cs="Arial" w:eastAsia="Arial" w:hAnsi="Arial"/>
                <w:i/>
                <w:iCs/>
                <w:color w:val="2E6B9E"/>
                <w:sz w:val="18"/>
                <w:szCs w:val="18"/>
              </w:rPr>
              <w:t xml:space="preserve">   [Medium-Term Impact / Medium Impulse]</w:t>
            </w:r>
          </w:p>
          <w:p>
            <w:pPr>
              <w:spacing w:after="0"/>
              <w:jc w:val="both"/>
            </w:pPr>
            <w:r>
              <w:rPr>
                <w:rFonts w:ascii="Arial" w:cs="Arial" w:eastAsia="Arial" w:hAnsi="Arial"/>
                <w:color w:val="1C1C1C"/>
                <w:sz w:val="21"/>
                <w:szCs w:val="21"/>
              </w:rPr>
              <w:t xml:space="preserve">AI data center energy demands are reviving nuclear as the only carbon-free baseload option at scale. Small modular reactors (SMRs) moving toward commercial deployment. Microsoft, Google, and Amazon have signed nuclear PPAs. Regulatory and construction timelines extend to 10–15 years for meaningful capacity additions.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3.11 Quantum Computing</w:t>
            </w:r>
            <w:r>
              <w:rPr>
                <w:rFonts w:ascii="Arial" w:cs="Arial" w:eastAsia="Arial" w:hAnsi="Arial"/>
                <w:i/>
                <w:iCs/>
                <w:color w:val="2E6B9E"/>
                <w:sz w:val="18"/>
                <w:szCs w:val="18"/>
              </w:rPr>
              <w:t xml:space="preserve">   [Long-Term Impact / Medium Impulse]</w:t>
            </w:r>
          </w:p>
          <w:p>
            <w:pPr>
              <w:spacing w:after="0"/>
              <w:jc w:val="both"/>
            </w:pPr>
            <w:r>
              <w:rPr>
                <w:rFonts w:ascii="Arial" w:cs="Arial" w:eastAsia="Arial" w:hAnsi="Arial"/>
                <w:color w:val="1C1C1C"/>
                <w:sz w:val="21"/>
                <w:szCs w:val="21"/>
              </w:rPr>
              <w:t xml:space="preserve">Market: ~$3.5B (2025) to $20B by 2030 (CAGR ~42%). IBM targets 200 logical qubits by 2029, 100K-qubit supercomputers by 2033. Quantinuum targets universal fault-tolerant QC by 2030. Practical broad commercial value: 2030–2035; general-purpose fault-tolerant systems: 2035–2050. VC funding surged 50% in 2024 to $2B+. Medium impulse: once mature, quantum will be superseded or absorbed within 10–15 years.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$20B</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Projected quantum computing market by 2030 (CAGR ~42%). 250K quantum professionals needed by 2030.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3.12 Longevity / Anti-Aging Technology</w:t>
            </w:r>
            <w:r>
              <w:rPr>
                <w:rFonts w:ascii="Arial" w:cs="Arial" w:eastAsia="Arial" w:hAnsi="Arial"/>
                <w:i/>
                <w:iCs/>
                <w:color w:val="2E6B9E"/>
                <w:sz w:val="18"/>
                <w:szCs w:val="18"/>
              </w:rPr>
              <w:t xml:space="preserve">   [Long-Term Impact / Medium Impulse]</w:t>
            </w:r>
          </w:p>
          <w:p>
            <w:pPr>
              <w:spacing w:after="0"/>
              <w:jc w:val="both"/>
            </w:pPr>
            <w:r>
              <w:rPr>
                <w:rFonts w:ascii="Arial" w:cs="Arial" w:eastAsia="Arial" w:hAnsi="Arial"/>
                <w:color w:val="1C1C1C"/>
                <w:sz w:val="21"/>
                <w:szCs w:val="21"/>
              </w:rPr>
              <w:t xml:space="preserve">Growing rapidly at the intersection of AI, genomics, and biotech. Focus shifting from treating disease to extending healthspan. Breakthroughs in senolytics, gene therapy, and AI-driven drug discovery could transform the economics of aging societies within 15–25 years. Medium impulse: specific technologies evolve rapidly, but the goal of extended healthspan persists.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3.13 Space Resource Economy</w:t>
            </w:r>
            <w:r>
              <w:rPr>
                <w:rFonts w:ascii="Arial" w:cs="Arial" w:eastAsia="Arial" w:hAnsi="Arial"/>
                <w:i/>
                <w:iCs/>
                <w:color w:val="2E6B9E"/>
                <w:sz w:val="18"/>
                <w:szCs w:val="18"/>
              </w:rPr>
              <w:t xml:space="preserve">   [Long-Term Impact / Medium Impulse]</w:t>
            </w:r>
          </w:p>
          <w:p>
            <w:pPr>
              <w:spacing w:after="0"/>
              <w:jc w:val="both"/>
            </w:pPr>
            <w:r>
              <w:rPr>
                <w:rFonts w:ascii="Arial" w:cs="Arial" w:eastAsia="Arial" w:hAnsi="Arial"/>
                <w:color w:val="1C1C1C"/>
                <w:sz w:val="21"/>
                <w:szCs w:val="21"/>
              </w:rPr>
              <w:t xml:space="preserve">Lunar resource extraction (water-ice for fuel), asteroid mining, in-orbit manufacturing. Current timeline: 2035–2045 for commercial viability. $15T infrastructure investment needed (Global Infrastructure Hub). Medium impulse: specific resource and technology cycles will shift, but the broader off-world economic frontier will persist.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3.14 Brain-Computer Interfaces</w:t>
            </w:r>
            <w:r>
              <w:rPr>
                <w:rFonts w:ascii="Arial" w:cs="Arial" w:eastAsia="Arial" w:hAnsi="Arial"/>
                <w:i/>
                <w:iCs/>
                <w:color w:val="2E6B9E"/>
                <w:sz w:val="18"/>
                <w:szCs w:val="18"/>
              </w:rPr>
              <w:t xml:space="preserve">   [Long-Term Impact / Medium Impulse]</w:t>
            </w:r>
          </w:p>
          <w:p>
            <w:pPr>
              <w:spacing w:after="0"/>
              <w:jc w:val="both"/>
            </w:pPr>
            <w:r>
              <w:rPr>
                <w:rFonts w:ascii="Arial" w:cs="Arial" w:eastAsia="Arial" w:hAnsi="Arial"/>
                <w:color w:val="1C1C1C"/>
                <w:sz w:val="21"/>
                <w:szCs w:val="21"/>
              </w:rPr>
              <w:t xml:space="preserve">Neuralink and competitors advancing implantable and non-invasive BCIs. Medical applications (paralysis, ALS) are nearest; consumer and cognitive enhancement applications are 15–25+ years away. Medium impulse: specific interface technologies will evolve rapidly, though human-machine cognitive integration is a longer-duration trend.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3.15 Fusion Energy</w:t>
            </w:r>
            <w:r>
              <w:rPr>
                <w:rFonts w:ascii="Arial" w:cs="Arial" w:eastAsia="Arial" w:hAnsi="Arial"/>
                <w:i/>
                <w:iCs/>
                <w:color w:val="2E6B9E"/>
                <w:sz w:val="18"/>
                <w:szCs w:val="18"/>
              </w:rPr>
              <w:t xml:space="preserve">   [Long-Term Impact / Medium Impulse]</w:t>
            </w:r>
          </w:p>
          <w:p>
            <w:pPr>
              <w:spacing w:after="0"/>
              <w:jc w:val="both"/>
            </w:pPr>
            <w:r>
              <w:rPr>
                <w:rFonts w:ascii="Arial" w:cs="Arial" w:eastAsia="Arial" w:hAnsi="Arial"/>
                <w:color w:val="1C1C1C"/>
                <w:sz w:val="21"/>
                <w:szCs w:val="21"/>
              </w:rPr>
              <w:t xml:space="preserve">Private fusion companies raised $7B+ cumulatively through 2025. Multiple companies targeting demonstration plants by 2030–2035. If successful, fusion would transform energy economics—but commercial deployment at scale remains 2040–2050+. Medium impulse: fusion technology generations will iterate rapidly once viable.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Part 4: Long-Impulse Trends (15–50+ Year Duration)</w:t>
      </w:r>
    </w:p>
    <w:p>
      <w:pPr>
        <w:spacing w:after="160"/>
        <w:jc w:val="both"/>
      </w:pPr>
      <w:r>
        <w:rPr>
          <w:rFonts w:ascii="Arial" w:cs="Arial" w:eastAsia="Arial" w:hAnsi="Arial"/>
          <w:color w:val="1C1C1C"/>
          <w:sz w:val="22"/>
          <w:szCs w:val="22"/>
        </w:rPr>
        <w:t xml:space="preserve">These are the structural, civilizational-scale forces that will shape the world for generations. No single strategy “solves” them—they require continuous institutional adaptation. Many are already exerting near-term effects, making them the most strategically significant trends in the entire matrix.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 Institutional Trust Erosion</w:t>
            </w:r>
            <w:r>
              <w:rPr>
                <w:rFonts w:ascii="Arial" w:cs="Arial" w:eastAsia="Arial" w:hAnsi="Arial"/>
                <w:i/>
                <w:iCs/>
                <w:color w:val="2E6B9E"/>
                <w:sz w:val="18"/>
                <w:szCs w:val="18"/>
              </w:rPr>
              <w:t xml:space="preserve">   [Near-Term Impact / Long Impulse]</w:t>
            </w:r>
          </w:p>
          <w:p>
            <w:pPr>
              <w:spacing w:after="0"/>
              <w:jc w:val="both"/>
            </w:pPr>
            <w:r>
              <w:rPr>
                <w:rFonts w:ascii="Arial" w:cs="Arial" w:eastAsia="Arial" w:hAnsi="Arial"/>
                <w:color w:val="1C1C1C"/>
                <w:sz w:val="21"/>
                <w:szCs w:val="21"/>
              </w:rPr>
              <w:t xml:space="preserve">The 2026 Edelman Trust Barometer: 70% globally unwilling to trust those with different values. Five-year descent “from fear to polarization to grievance to insularity.” Only 32% believe the next generation will be better off (France: 6%, Germany: 8%). Employers remain most trusted institution (78% vs 53% government). Trust erosion is cumulative, self-reinforcing, and extremely slow to reverse—a generational challenge that will shape politics, markets, and organizational design for 30+ years.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70%</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Globally unwilling to trust those with different values (2026 Edelman). Japan: 90%, Germany: 81%.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4.2 The Data Center Energy Crisis</w:t>
            </w:r>
            <w:r>
              <w:rPr>
                <w:rFonts w:ascii="Arial" w:cs="Arial" w:eastAsia="Arial" w:hAnsi="Arial"/>
                <w:i/>
                <w:iCs/>
                <w:color w:val="2E6B9E"/>
                <w:sz w:val="18"/>
                <w:szCs w:val="18"/>
              </w:rPr>
              <w:t xml:space="preserve">   [Near-Term Impact / Long Impulse]</w:t>
            </w:r>
          </w:p>
          <w:p>
            <w:pPr>
              <w:spacing w:after="0"/>
              <w:jc w:val="both"/>
            </w:pPr>
            <w:r>
              <w:rPr>
                <w:rFonts w:ascii="Arial" w:cs="Arial" w:eastAsia="Arial" w:hAnsi="Arial"/>
                <w:color w:val="1C1C1C"/>
                <w:sz w:val="21"/>
                <w:szCs w:val="21"/>
              </w:rPr>
              <w:t xml:space="preserve">Global data center electricity: 1+ PWh by 2026 (IEA)—equivalent to Japan’s total consumption. RAND: 68 GW needed by 2027, approaching California’s total capacity. PJM capacity prices rose 10x between planning years. Large AI data centers: 300K–5M gallons of water daily. Long impulse: AI computational demands are exponential, and physical constraints—grid capacity, water, permitting—take decades to resolve.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4.3 Weaponized Economic Interdependence</w:t>
            </w:r>
            <w:r>
              <w:rPr>
                <w:rFonts w:ascii="Arial" w:cs="Arial" w:eastAsia="Arial" w:hAnsi="Arial"/>
                <w:i/>
                <w:iCs/>
                <w:color w:val="2E6B9E"/>
                <w:sz w:val="18"/>
                <w:szCs w:val="18"/>
              </w:rPr>
              <w:t xml:space="preserve">   [Near-Term Impact / Long Impulse]</w:t>
            </w:r>
          </w:p>
          <w:p>
            <w:pPr>
              <w:spacing w:after="0"/>
              <w:jc w:val="both"/>
            </w:pPr>
            <w:r>
              <w:rPr>
                <w:rFonts w:ascii="Arial" w:cs="Arial" w:eastAsia="Arial" w:hAnsi="Arial"/>
                <w:color w:val="1C1C1C"/>
                <w:sz w:val="21"/>
                <w:szCs w:val="21"/>
              </w:rPr>
              <w:t xml:space="preserve">Export controls on semiconductors, rare earths, cobalt represent techno-nationalism hardening into permanent policy architecture. UNCTAD reports global trade exceeded $35T in 2025 but fragmentation is structural. The US would need 90% of global semiconductor output for five years to meet data center ambitions. This contradiction—between controlling chip supply and demanding it—will define geopolitics for a generation.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4.4 The Disinformation Ecosystem</w:t>
            </w:r>
            <w:r>
              <w:rPr>
                <w:rFonts w:ascii="Arial" w:cs="Arial" w:eastAsia="Arial" w:hAnsi="Arial"/>
                <w:i/>
                <w:iCs/>
                <w:color w:val="2E6B9E"/>
                <w:sz w:val="18"/>
                <w:szCs w:val="18"/>
              </w:rPr>
              <w:t xml:space="preserve">   [Near-Term Impact / Long Impulse]</w:t>
            </w:r>
          </w:p>
          <w:p>
            <w:pPr>
              <w:spacing w:after="0"/>
              <w:jc w:val="both"/>
            </w:pPr>
            <w:r>
              <w:rPr>
                <w:rFonts w:ascii="Arial" w:cs="Arial" w:eastAsia="Arial" w:hAnsi="Arial"/>
                <w:color w:val="1C1C1C"/>
                <w:sz w:val="21"/>
                <w:szCs w:val="21"/>
              </w:rPr>
              <w:t xml:space="preserve">AI-generated disinformation has moved from novelty to industrial scale. Deepfakes in political manipulation (Philippine elections, 56 politician impersonations in Q1 2025). This compounds the trust crisis and undermines democratic governance. The ecosystem will persist and evolve for decades as each new technology generation creates new attack vectors.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4.5 Circular Economy Transition</w:t>
            </w:r>
            <w:r>
              <w:rPr>
                <w:rFonts w:ascii="Arial" w:cs="Arial" w:eastAsia="Arial" w:hAnsi="Arial"/>
                <w:i/>
                <w:iCs/>
                <w:color w:val="2E6B9E"/>
                <w:sz w:val="18"/>
                <w:szCs w:val="18"/>
              </w:rPr>
              <w:t xml:space="preserve">   [Near-Term Impact / Long Impulse]</w:t>
            </w:r>
          </w:p>
          <w:p>
            <w:pPr>
              <w:spacing w:after="0"/>
              <w:jc w:val="both"/>
            </w:pPr>
            <w:r>
              <w:rPr>
                <w:rFonts w:ascii="Arial" w:cs="Arial" w:eastAsia="Arial" w:hAnsi="Arial"/>
                <w:color w:val="1C1C1C"/>
                <w:sz w:val="21"/>
                <w:szCs w:val="21"/>
              </w:rPr>
              <w:t xml:space="preserve">The shift from linear “take-make-dispose” to circular models accelerating through regulation (EU/US Right to Repair legislation) and consumer pressure. A structural shift in industrial logic that will take 20–40 years to complete across all sectors.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4.6 The Energy Transition to Net Zero</w:t>
            </w:r>
            <w:r>
              <w:rPr>
                <w:rFonts w:ascii="Arial" w:cs="Arial" w:eastAsia="Arial" w:hAnsi="Arial"/>
                <w:i/>
                <w:iCs/>
                <w:color w:val="2E6B9E"/>
                <w:sz w:val="18"/>
                <w:szCs w:val="18"/>
              </w:rPr>
              <w:t xml:space="preserve">   [Medium-Term Impact / Long Impulse]</w:t>
            </w:r>
          </w:p>
          <w:p>
            <w:pPr>
              <w:spacing w:after="0"/>
              <w:jc w:val="both"/>
            </w:pPr>
            <w:r>
              <w:rPr>
                <w:rFonts w:ascii="Arial" w:cs="Arial" w:eastAsia="Arial" w:hAnsi="Arial"/>
                <w:color w:val="1C1C1C"/>
                <w:sz w:val="21"/>
                <w:szCs w:val="21"/>
              </w:rPr>
              <w:t xml:space="preserve">Clean energy investment: record $3.3T in 2025 (IEA), with clean tech attracting 2x fossil fuel capital. Solar/wind capacity grew 20%+ in 2024. EU CBAM takes full effect 2026. But existing fossil infrastructure = trillions in stranded assets, and AI energy demands create direct tension with decarbonization. This is a 30–50 year structural transformation.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$3.3T</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Record global clean energy investment in 2025 (IEA). Clean tech attracts 2x fossil fuel capital.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4.7 Global Governance Redesign</w:t>
            </w:r>
            <w:r>
              <w:rPr>
                <w:rFonts w:ascii="Arial" w:cs="Arial" w:eastAsia="Arial" w:hAnsi="Arial"/>
                <w:i/>
                <w:iCs/>
                <w:color w:val="2E6B9E"/>
                <w:sz w:val="18"/>
                <w:szCs w:val="18"/>
              </w:rPr>
              <w:t xml:space="preserve">   [Medium-Term Impact / Long Impulse]</w:t>
            </w:r>
          </w:p>
          <w:p>
            <w:pPr>
              <w:spacing w:after="0"/>
              <w:jc w:val="both"/>
            </w:pPr>
            <w:r>
              <w:rPr>
                <w:rFonts w:ascii="Arial" w:cs="Arial" w:eastAsia="Arial" w:hAnsi="Arial"/>
                <w:color w:val="1C1C1C"/>
                <w:sz w:val="21"/>
                <w:szCs w:val="21"/>
              </w:rPr>
              <w:t xml:space="preserve">Erosion of WTO, UN, and post-war institutional architecture is not a crisis that will resolve—it is a transition to a new system that hasn’t yet emerged. Industrial policy is now a defining feature, with governments championing national sectors framed as security tools. Whether this hardens into fragmentation or evolves into new multilateralism will take 15–30 years to resolve.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4.8 Africa &amp; South Asia Youth Bulge</w:t>
            </w:r>
            <w:r>
              <w:rPr>
                <w:rFonts w:ascii="Arial" w:cs="Arial" w:eastAsia="Arial" w:hAnsi="Arial"/>
                <w:i/>
                <w:iCs/>
                <w:color w:val="2E6B9E"/>
                <w:sz w:val="18"/>
                <w:szCs w:val="18"/>
              </w:rPr>
              <w:t xml:space="preserve">   [Medium-Term Impact / Long Impulse]</w:t>
            </w:r>
          </w:p>
          <w:p>
            <w:pPr>
              <w:spacing w:after="0"/>
              <w:jc w:val="both"/>
            </w:pPr>
            <w:r>
              <w:rPr>
                <w:rFonts w:ascii="Arial" w:cs="Arial" w:eastAsia="Arial" w:hAnsi="Arial"/>
                <w:color w:val="1C1C1C"/>
                <w:sz w:val="21"/>
                <w:szCs w:val="21"/>
              </w:rPr>
              <w:t xml:space="preserve">Much of Sub-Saharan Africa and South Asia faces massive youth bulges playing out over 30–50 years. By 2050, Africa’s working-age population will exceed China and India combined. Enormous potential workforce and dynamic consumer markets—or significant social instability if education and labor markets fail. Sub-Saharan Africa water demand expected to rise 163% by 2050.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4.9 The Mega-Urbanization Wave</w:t>
            </w:r>
            <w:r>
              <w:rPr>
                <w:rFonts w:ascii="Arial" w:cs="Arial" w:eastAsia="Arial" w:hAnsi="Arial"/>
                <w:i/>
                <w:iCs/>
                <w:color w:val="2E6B9E"/>
                <w:sz w:val="18"/>
                <w:szCs w:val="18"/>
              </w:rPr>
              <w:t xml:space="preserve">   [Medium-Term Impact / Long Impulse]</w:t>
            </w:r>
          </w:p>
          <w:p>
            <w:pPr>
              <w:spacing w:after="0"/>
              <w:jc w:val="both"/>
            </w:pPr>
            <w:r>
              <w:rPr>
                <w:rFonts w:ascii="Arial" w:cs="Arial" w:eastAsia="Arial" w:hAnsi="Arial"/>
                <w:color w:val="1C1C1C"/>
                <w:sz w:val="21"/>
                <w:szCs w:val="21"/>
              </w:rPr>
              <w:t xml:space="preserve">2.5 billion additional urban residents by 2050. 43 megacities of 10M+ by 2030 (UN), up from 34 today; 67 by 2050 (Oxford Economics). By 2050, 70% of world population urban. Jakarta now largest city (42M), Dhaka (40M) projected largest by 2050. 90% of growth in Asia and Africa. This is a 30–50 year structural transformation requiring $15T+ in infrastructure investment.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2.5B</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Additional urban residents by 2050. 67 megacities projected, up from 34 today. 70% of world urban.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4.10 Digital Sovereignty Regimes</w:t>
            </w:r>
            <w:r>
              <w:rPr>
                <w:rFonts w:ascii="Arial" w:cs="Arial" w:eastAsia="Arial" w:hAnsi="Arial"/>
                <w:i/>
                <w:iCs/>
                <w:color w:val="2E6B9E"/>
                <w:sz w:val="18"/>
                <w:szCs w:val="18"/>
              </w:rPr>
              <w:t xml:space="preserve">   [Medium-Term Impact / Long Impulse]</w:t>
            </w:r>
          </w:p>
          <w:p>
            <w:pPr>
              <w:spacing w:after="0"/>
              <w:jc w:val="both"/>
            </w:pPr>
            <w:r>
              <w:rPr>
                <w:rFonts w:ascii="Arial" w:cs="Arial" w:eastAsia="Arial" w:hAnsi="Arial"/>
                <w:color w:val="1C1C1C"/>
                <w:sz w:val="21"/>
                <w:szCs w:val="21"/>
              </w:rPr>
              <w:t xml:space="preserve">Governments increasingly assert control over data flows, AI systems, and digital infrastructure within their borders. EU AI Act, China’s data localization, India’s digital public goods approach represent divergent models. This regulatory fragmentation will persist for decades as nations balance innovation, security, and sovereignty.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4.11 Climate Tipping Points</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The WEF and Allianz warn of temperature thresholds (1.5°C, 2°C, 3°C) triggering irreversible Earth system changes. Extreme weather costs nearly tripled since 2000 to $435B projected (2020–2024). Physical impacts are locked in for centuries regardless of mitigation—adaptation is an indefinite imperative. The longest-duration, highest-stakes trend in the entire matrix.</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4.12 The Super-Aging Silver Economy</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Asia Pacific silver economy: $4.6T by 2025. Japan, South Korea, Germany, Italy, China face super-aging that will reshape their economies for 50+ years. Drives growth in longevity tech, healthcare AI, assisted living, wealth management, age-friendly design. Creates structural labor shortages interacting with every other megatrend.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4.13 The Bio-Digital Convergence</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Merger of AI, genomics, and synthetic biology transforming medicine, agriculture, materials. AI healthcare applications: $150B annual savings by 2026 (Accenture). Full convergence—where engineered biology and AI operate in tight feedback loops—is a 20–40 year transformation raising the most profound ethical questions of our era.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4.14 Artificial General Intelligence</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The trajectory from narrow AI to agentic AI to potential AGI represents the most consequential technological pathway in human history. Whether AGI arrives in 2035, 2050, or later, preparing for its possibility—through governance frameworks, safety research, and institutional readiness—is a multi-decade imperative.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4.15 The Global Water Crisis</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By 2050, 6.5 billion people (65% of population) could face severe water scarcity (Nature Geoscience, 2025). Water demand to increase 20–25% by 2050; Sub-Saharan Africa demand up 163%. 700 million people could be displaced by 2030 (UN). “Day Zero Drought” events emerging in Mediterranean, southern Africa, North America. Agriculture uses 70% of freshwater; 60% of irrigated farmland faces extreme stress. This intersects with every other megatrend: climate, urbanization, demographics, food security.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6.5B</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People facing severe water scarcity by 2050 under fragmentation scenarios (Nature Geoscience 2025).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9E" w:sz="2"/>
              <w:left w:val="single" w:color="B0BEC5" w:sz="1"/>
              <w:bottom w:val="single" w:color="B0BEC5" w:sz="1"/>
              <w:right w:val="single" w:color="B0BEC5" w:sz="1"/>
            </w:tcBorders>
            <w:shd w:fill="F0F4F8" w:val="clear"/>
            <w:tcMar>
              <w:top w:type="dxa" w:w="100"/>
              <w:left w:type="dxa" w:w="160"/>
              <w:bottom w:type="dxa" w:w="100"/>
              <w:right w:type="dxa" w:w="160"/>
            </w:tcMar>
          </w:tcPr>
          <w:p>
            <w:pPr>
              <w:spacing w:after="60"/>
            </w:pPr>
            <w:r>
              <w:rPr>
                <w:rFonts w:ascii="Arial" w:cs="Arial" w:eastAsia="Arial" w:hAnsi="Arial"/>
                <w:b/>
                <w:bCs/>
                <w:color w:val="1B2A4A"/>
                <w:sz w:val="24"/>
                <w:szCs w:val="24"/>
              </w:rPr>
              <w:t xml:space="preserve">4.16 Ocean Acidification &amp; Marine Ecosystem Collapse</w:t>
            </w:r>
            <w:r>
              <w:rPr>
                <w:rFonts w:ascii="Arial" w:cs="Arial" w:eastAsia="Arial" w:hAnsi="Arial"/>
                <w:i/>
                <w:iCs/>
                <w:color w:val="2E6B9E"/>
                <w:sz w:val="18"/>
                <w:szCs w:val="18"/>
              </w:rPr>
              <w:t xml:space="preserve">   [Long-Term Impact / Long Impulse]</w:t>
            </w:r>
          </w:p>
          <w:p>
            <w:pPr>
              <w:spacing w:after="0"/>
              <w:jc w:val="both"/>
            </w:pPr>
            <w:r>
              <w:rPr>
                <w:rFonts w:ascii="Arial" w:cs="Arial" w:eastAsia="Arial" w:hAnsi="Arial"/>
                <w:color w:val="1C1C1C"/>
                <w:sz w:val="21"/>
                <w:szCs w:val="21"/>
              </w:rPr>
              <w:t xml:space="preserve">Ocean pH has declined 30% since pre-industrial era. Coral reefs support 25% of marine species and 500M+ livelihoods. This slow-building but irreversible trend will reshape fisheries, coastal economies, and food security over 50+ years.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Part 5: Convergence Risks — Where Trends Collide</w:t>
      </w:r>
    </w:p>
    <w:p>
      <w:pPr>
        <w:spacing w:after="160"/>
        <w:jc w:val="both"/>
      </w:pPr>
      <w:r>
        <w:rPr>
          <w:rFonts w:ascii="Arial" w:cs="Arial" w:eastAsia="Arial" w:hAnsi="Arial"/>
          <w:color w:val="1C1C1C"/>
          <w:sz w:val="22"/>
          <w:szCs w:val="22"/>
        </w:rPr>
        <w:t xml:space="preserve">The most consequential developments emerge not within individual trends but at their intersections. EY characterizes the current era as a “NAVI world”—nonlinear, accelerated, volatile, and interconnected.</w:t>
      </w:r>
    </w:p>
    <w:p>
      <w:pPr>
        <w:pStyle w:val="Heading2"/>
      </w:pPr>
      <w:r>
        <w:rPr>
          <w:rFonts w:ascii="Arial" w:cs="Arial" w:eastAsia="Arial" w:hAnsi="Arial"/>
        </w:rPr>
        <w:t xml:space="preserve">5.1 The AI-Energy-Climate-Water Nexus</w:t>
      </w:r>
    </w:p>
    <w:p>
      <w:pPr>
        <w:spacing w:after="160"/>
        <w:jc w:val="both"/>
      </w:pPr>
      <w:r>
        <w:rPr>
          <w:rFonts w:ascii="Arial" w:cs="Arial" w:eastAsia="Arial" w:hAnsi="Arial"/>
          <w:color w:val="1C1C1C"/>
          <w:sz w:val="22"/>
          <w:szCs w:val="22"/>
        </w:rPr>
        <w:t xml:space="preserve">AI’s exponential energy demands collide with climate targets, grid constraints, and water scarcity. Data centers may consume 1+ PWh by 2026 while 60% of their energy is fossil-fueled. Large facilities consume 300K–5M gallons of water daily—in regions already facing water stress. Every new AI training run compounds the pressure on all three systems simultaneously.</w:t>
      </w:r>
    </w:p>
    <w:p>
      <w:pPr>
        <w:pStyle w:val="Heading2"/>
      </w:pPr>
      <w:r>
        <w:rPr>
          <w:rFonts w:ascii="Arial" w:cs="Arial" w:eastAsia="Arial" w:hAnsi="Arial"/>
        </w:rPr>
        <w:t xml:space="preserve">5.2 The Demographics-Technology-Trust Triangle</w:t>
      </w:r>
    </w:p>
    <w:p>
      <w:pPr>
        <w:spacing w:after="160"/>
        <w:jc w:val="both"/>
      </w:pPr>
      <w:r>
        <w:rPr>
          <w:rFonts w:ascii="Arial" w:cs="Arial" w:eastAsia="Arial" w:hAnsi="Arial"/>
          <w:color w:val="1C1C1C"/>
          <w:sz w:val="22"/>
          <w:szCs w:val="22"/>
        </w:rPr>
        <w:t xml:space="preserve">Aging societies need AI to fill labor gaps, but populations distrust both AI and the institutions deploying it. 54% of low-income respondents believe they will be left behind by AI. The 500K unfilled US manufacturing jobs require skills training systems cannot supply. This three-way collision is the defining governance challenge of the next decade.</w:t>
      </w:r>
    </w:p>
    <w:p>
      <w:pPr>
        <w:pStyle w:val="Heading2"/>
      </w:pPr>
      <w:r>
        <w:rPr>
          <w:rFonts w:ascii="Arial" w:cs="Arial" w:eastAsia="Arial" w:hAnsi="Arial"/>
        </w:rPr>
        <w:t xml:space="preserve">5.3 Urbanization-Water-Climate Cascade</w:t>
      </w:r>
    </w:p>
    <w:p>
      <w:pPr>
        <w:spacing w:after="160"/>
        <w:jc w:val="both"/>
      </w:pPr>
      <w:r>
        <w:rPr>
          <w:rFonts w:ascii="Arial" w:cs="Arial" w:eastAsia="Arial" w:hAnsi="Arial"/>
          <w:color w:val="1C1C1C"/>
          <w:sz w:val="22"/>
          <w:szCs w:val="22"/>
        </w:rPr>
        <w:t xml:space="preserve">2.5B additional urban residents by 2050, concentrated in regions already facing extreme water stress. Sub-Saharan Africa’s water demand up 163% while its urban population triples. Climate change intensifies drought and flood cycles in exactly the regions urbanizing fastest. Smart city infrastructure must be climate-resilient and water-efficient from inception—retrofitting is prohibitively expensive.</w:t>
      </w:r>
    </w:p>
    <w:p>
      <w:pPr>
        <w:pStyle w:val="Heading2"/>
      </w:pPr>
      <w:r>
        <w:rPr>
          <w:rFonts w:ascii="Arial" w:cs="Arial" w:eastAsia="Arial" w:hAnsi="Arial"/>
        </w:rPr>
        <w:t xml:space="preserve">5.4 Trade-Climate-Technology Intersection</w:t>
      </w:r>
    </w:p>
    <w:p>
      <w:pPr>
        <w:spacing w:after="160"/>
        <w:jc w:val="both"/>
      </w:pPr>
      <w:r>
        <w:rPr>
          <w:rFonts w:ascii="Arial" w:cs="Arial" w:eastAsia="Arial" w:hAnsi="Arial"/>
          <w:color w:val="1C1C1C"/>
          <w:sz w:val="22"/>
          <w:szCs w:val="22"/>
        </w:rPr>
        <w:t xml:space="preserve">EU CBAM creates trade barriers advancing climate goals. 50% tariffs on Chinese solar cells reduced US residential installations 32% in 2024. Nearshoring reduces shipping emissions but can increase energy intensity. Post-quantum cryptography migration overlaps with critical infrastructure protection against climate-driven grid instability. These intersections create policy contradictions that compound over 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Part 6: Strategic Implications by Quadrant</w:t>
      </w:r>
    </w:p>
    <w:p>
      <w:pPr>
        <w:pStyle w:val="Heading2"/>
      </w:pPr>
      <w:r>
        <w:rPr>
          <w:rFonts w:ascii="Arial" w:cs="Arial" w:eastAsia="Arial" w:hAnsi="Arial"/>
        </w:rPr>
        <w:t xml:space="preserve">For Short-Impulse Trends: Build Optionality</w:t>
      </w:r>
    </w:p>
    <w:p>
      <w:pPr>
        <w:pStyle w:val="ListParagraph"/>
        <w:numPr>
          <w:ilvl w:val="0"/>
          <w:numId w:val="2"/>
        </w:numPr>
        <w:spacing w:after="100"/>
      </w:pPr>
      <w:r>
        <w:rPr>
          <w:rFonts w:ascii="Arial" w:cs="Arial" w:eastAsia="Arial" w:hAnsi="Arial"/>
          <w:color w:val="1C1C1C"/>
          <w:sz w:val="22"/>
          <w:szCs w:val="22"/>
        </w:rPr>
        <w:t xml:space="preserve">Tariff cycles, mineral volatility, and tech corrections are intense but transient. Use flexible contracts, multi-source procurement, and hedging strategies.</w:t>
      </w:r>
    </w:p>
    <w:p>
      <w:pPr>
        <w:pStyle w:val="ListParagraph"/>
        <w:numPr>
          <w:ilvl w:val="0"/>
          <w:numId w:val="2"/>
        </w:numPr>
        <w:spacing w:after="100"/>
      </w:pPr>
      <w:r>
        <w:rPr>
          <w:rFonts w:ascii="Arial" w:cs="Arial" w:eastAsia="Arial" w:hAnsi="Arial"/>
          <w:color w:val="1C1C1C"/>
          <w:sz w:val="22"/>
          <w:szCs w:val="22"/>
        </w:rPr>
        <w:t xml:space="preserve">Post-quantum cryptography migration has a clear deadline: begin inventorying systems now, complete by 2030.</w:t>
      </w:r>
    </w:p>
    <w:p>
      <w:pPr>
        <w:pStyle w:val="ListParagraph"/>
        <w:numPr>
          <w:ilvl w:val="0"/>
          <w:numId w:val="2"/>
        </w:numPr>
        <w:spacing w:after="100"/>
      </w:pPr>
      <w:r>
        <w:rPr>
          <w:rFonts w:ascii="Arial" w:cs="Arial" w:eastAsia="Arial" w:hAnsi="Arial"/>
          <w:color w:val="1C1C1C"/>
          <w:sz w:val="22"/>
          <w:szCs w:val="22"/>
        </w:rPr>
        <w:t xml:space="preserve">Deepfake defense requires immediate investment in multi-layer authentication, but specific technologies will evolve rapidly.</w:t>
      </w:r>
    </w:p>
    <w:p>
      <w:pPr>
        <w:pStyle w:val="Heading2"/>
      </w:pPr>
      <w:r>
        <w:rPr>
          <w:rFonts w:ascii="Arial" w:cs="Arial" w:eastAsia="Arial" w:hAnsi="Arial"/>
        </w:rPr>
        <w:t xml:space="preserve">For Medium-Impulse Trends: Commit Capital</w:t>
      </w:r>
    </w:p>
    <w:p>
      <w:pPr>
        <w:pStyle w:val="ListParagraph"/>
        <w:numPr>
          <w:ilvl w:val="0"/>
          <w:numId w:val="2"/>
        </w:numPr>
        <w:spacing w:after="100"/>
      </w:pPr>
      <w:r>
        <w:rPr>
          <w:rFonts w:ascii="Arial" w:cs="Arial" w:eastAsia="Arial" w:hAnsi="Arial"/>
          <w:color w:val="1C1C1C"/>
          <w:sz w:val="22"/>
          <w:szCs w:val="22"/>
        </w:rPr>
        <w:t xml:space="preserve">Agentic AI, space commercialization, synthetic biology, and quantum computing represent 5–15 year windows where first-movers build durable advantage.</w:t>
      </w:r>
    </w:p>
    <w:p>
      <w:pPr>
        <w:pStyle w:val="ListParagraph"/>
        <w:numPr>
          <w:ilvl w:val="0"/>
          <w:numId w:val="2"/>
        </w:numPr>
        <w:spacing w:after="100"/>
      </w:pPr>
      <w:r>
        <w:rPr>
          <w:rFonts w:ascii="Arial" w:cs="Arial" w:eastAsia="Arial" w:hAnsi="Arial"/>
          <w:color w:val="1C1C1C"/>
          <w:sz w:val="22"/>
          <w:szCs w:val="22"/>
        </w:rPr>
        <w:t xml:space="preserve">The insurance crisis demands new financial instruments (parametric insurance, catastrophe bonds, public-private pools) over the next decade.</w:t>
      </w:r>
    </w:p>
    <w:p>
      <w:pPr>
        <w:pStyle w:val="ListParagraph"/>
        <w:numPr>
          <w:ilvl w:val="0"/>
          <w:numId w:val="2"/>
        </w:numPr>
        <w:spacing w:after="100"/>
      </w:pPr>
      <w:r>
        <w:rPr>
          <w:rFonts w:ascii="Arial" w:cs="Arial" w:eastAsia="Arial" w:hAnsi="Arial"/>
          <w:color w:val="1C1C1C"/>
          <w:sz w:val="22"/>
          <w:szCs w:val="22"/>
        </w:rPr>
        <w:t xml:space="preserve">Nuclear SMRs and fusion represent the next generation of energy infrastructure—position now for 10–15 year deployment cycles.</w:t>
      </w:r>
    </w:p>
    <w:p>
      <w:pPr>
        <w:pStyle w:val="ListParagraph"/>
        <w:numPr>
          <w:ilvl w:val="0"/>
          <w:numId w:val="2"/>
        </w:numPr>
        <w:spacing w:after="100"/>
      </w:pPr>
      <w:r>
        <w:rPr>
          <w:rFonts w:ascii="Arial" w:cs="Arial" w:eastAsia="Arial" w:hAnsi="Arial"/>
          <w:color w:val="1C1C1C"/>
          <w:sz w:val="22"/>
          <w:szCs w:val="22"/>
        </w:rPr>
        <w:t xml:space="preserve">Smart city infrastructure is a multi-trillion-dollar market. Integration of AI, water efficiency, and climate resilience from inception is critical.</w:t>
      </w:r>
    </w:p>
    <w:p>
      <w:pPr>
        <w:pStyle w:val="Heading2"/>
      </w:pPr>
      <w:r>
        <w:rPr>
          <w:rFonts w:ascii="Arial" w:cs="Arial" w:eastAsia="Arial" w:hAnsi="Arial"/>
        </w:rPr>
        <w:t xml:space="preserve">For Long-Impulse Trends: Adapt Institutions</w:t>
      </w:r>
    </w:p>
    <w:p>
      <w:pPr>
        <w:pStyle w:val="ListParagraph"/>
        <w:numPr>
          <w:ilvl w:val="0"/>
          <w:numId w:val="2"/>
        </w:numPr>
        <w:spacing w:after="100"/>
      </w:pPr>
      <w:r>
        <w:rPr>
          <w:rFonts w:ascii="Arial" w:cs="Arial" w:eastAsia="Arial" w:hAnsi="Arial"/>
          <w:color w:val="1C1C1C"/>
          <w:sz w:val="22"/>
          <w:szCs w:val="22"/>
        </w:rPr>
        <w:t xml:space="preserve">Climate tipping points, water crisis, and demographic shifts cannot be “solved”—they require continuous, generational institutional adaptation.</w:t>
      </w:r>
    </w:p>
    <w:p>
      <w:pPr>
        <w:pStyle w:val="ListParagraph"/>
        <w:numPr>
          <w:ilvl w:val="0"/>
          <w:numId w:val="2"/>
        </w:numPr>
        <w:spacing w:after="100"/>
      </w:pPr>
      <w:r>
        <w:rPr>
          <w:rFonts w:ascii="Arial" w:cs="Arial" w:eastAsia="Arial" w:hAnsi="Arial"/>
          <w:color w:val="1C1C1C"/>
          <w:sz w:val="22"/>
          <w:szCs w:val="22"/>
        </w:rPr>
        <w:t xml:space="preserve">The trust deficit is a meta-risk multiplying every other challenge. Organizations should embrace the “trust broker” role starting with the workplace.</w:t>
      </w:r>
    </w:p>
    <w:p>
      <w:pPr>
        <w:pStyle w:val="ListParagraph"/>
        <w:numPr>
          <w:ilvl w:val="0"/>
          <w:numId w:val="2"/>
        </w:numPr>
        <w:spacing w:after="100"/>
      </w:pPr>
      <w:r>
        <w:rPr>
          <w:rFonts w:ascii="Arial" w:cs="Arial" w:eastAsia="Arial" w:hAnsi="Arial"/>
          <w:color w:val="1C1C1C"/>
          <w:sz w:val="22"/>
          <w:szCs w:val="22"/>
        </w:rPr>
        <w:t xml:space="preserve">Energy infrastructure planning must integrate exponential AI demand forecasts. Current grid capacity is inadequate.</w:t>
      </w:r>
    </w:p>
    <w:p>
      <w:pPr>
        <w:pStyle w:val="ListParagraph"/>
        <w:numPr>
          <w:ilvl w:val="0"/>
          <w:numId w:val="2"/>
        </w:numPr>
        <w:spacing w:after="100"/>
      </w:pPr>
      <w:r>
        <w:rPr>
          <w:rFonts w:ascii="Arial" w:cs="Arial" w:eastAsia="Arial" w:hAnsi="Arial"/>
          <w:color w:val="1C1C1C"/>
          <w:sz w:val="22"/>
          <w:szCs w:val="22"/>
        </w:rPr>
        <w:t xml:space="preserve">The global water crisis intersects with urbanization, agriculture, climate, and migration. Water security must move to the center of strategic planning.</w:t>
      </w:r>
    </w:p>
    <w:p>
      <w:pPr>
        <w:pStyle w:val="ListParagraph"/>
        <w:numPr>
          <w:ilvl w:val="0"/>
          <w:numId w:val="2"/>
        </w:numPr>
        <w:spacing w:after="100"/>
      </w:pPr>
      <w:r>
        <w:rPr>
          <w:rFonts w:ascii="Arial" w:cs="Arial" w:eastAsia="Arial" w:hAnsi="Arial"/>
          <w:color w:val="1C1C1C"/>
          <w:sz w:val="22"/>
          <w:szCs w:val="22"/>
        </w:rPr>
        <w:t xml:space="preserve">Bio-digital convergence and AGI preparation require governance frameworks now, before the technologies mature.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Conclusion: The Discipline of Time Horizons</w:t>
      </w:r>
    </w:p>
    <w:p>
      <w:pPr>
        <w:spacing w:after="160"/>
        <w:jc w:val="both"/>
      </w:pPr>
      <w:r>
        <w:rPr>
          <w:rFonts w:ascii="Arial" w:cs="Arial" w:eastAsia="Arial" w:hAnsi="Arial"/>
          <w:color w:val="1C1C1C"/>
          <w:sz w:val="22"/>
          <w:szCs w:val="22"/>
        </w:rPr>
        <w:t xml:space="preserve">The Impact/Impulse framework reveals that most strategic failures stem from time-horizon confusion: treating a long-impulse trend as a passing disruption, or over-investing in a short-impulse cycle as though it were permanent.</w:t>
      </w:r>
    </w:p>
    <w:p>
      <w:pPr>
        <w:spacing w:after="160"/>
        <w:jc w:val="both"/>
      </w:pPr>
      <w:r>
        <w:rPr>
          <w:rFonts w:ascii="Arial" w:cs="Arial" w:eastAsia="Arial" w:hAnsi="Arial"/>
          <w:color w:val="1C1C1C"/>
          <w:sz w:val="22"/>
          <w:szCs w:val="22"/>
        </w:rPr>
        <w:t xml:space="preserve">The most dangerous trends are those in the “Near-Term Impact / Long Impulse” zone—trust erosion, the data center energy collision, weaponized interdependence, disinformation—forces hitting now that will not go away. Leaders who wait for “normalization” will be caught in structural disadvantages that compound over decades.</w:t>
      </w:r>
    </w:p>
    <w:p>
      <w:pPr>
        <w:spacing w:after="160"/>
        <w:jc w:val="both"/>
      </w:pPr>
      <w:r>
        <w:rPr>
          <w:rFonts w:ascii="Arial" w:cs="Arial" w:eastAsia="Arial" w:hAnsi="Arial"/>
          <w:color w:val="1C1C1C"/>
          <w:sz w:val="22"/>
          <w:szCs w:val="22"/>
        </w:rPr>
        <w:t xml:space="preserve">The greatest opportunities lie in the “Medium-Term Impact / Medium Impulse” zone—agentic AI, space commercialization, synthetic biology, autonomous mobility, nuclear renaissance—where 5–15 year commitment windows reward first-movers with durable advantage.</w:t>
      </w:r>
    </w:p>
    <w:p>
      <w:pPr>
        <w:spacing w:after="160"/>
        <w:jc w:val="both"/>
      </w:pPr>
      <w:r>
        <w:rPr>
          <w:rFonts w:ascii="Arial" w:cs="Arial" w:eastAsia="Arial" w:hAnsi="Arial"/>
          <w:color w:val="1C1C1C"/>
          <w:sz w:val="22"/>
          <w:szCs w:val="22"/>
        </w:rPr>
        <w:t xml:space="preserve">And the trends that will ultimately dwarf everything else sit in the “Long-Term Impact / Long Impulse” zone—climate tipping points, the global water crisis, super-aging, bio-digital convergence, AGI—civilizational forces that will reshape the world your successors inherit.</w:t>
      </w:r>
    </w:p>
    <w:p>
      <w:pPr>
        <w:spacing w:after="160"/>
        <w:jc w:val="both"/>
      </w:pPr>
      <w:r>
        <w:rPr>
          <w:rFonts w:ascii="Arial" w:cs="Arial" w:eastAsia="Arial" w:hAnsi="Arial"/>
          <w:color w:val="1C1C1C"/>
          <w:sz w:val="22"/>
          <w:szCs w:val="22"/>
        </w:rPr>
        <w:t xml:space="preserve">The question is not whether the world is changing. It is whether leaders will develop the matrix-informed discipline to distinguish the transient from the transformational, and act accordingly.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 w:hRule="exact"/>
        </w:trPr>
        <w:tc>
          <w:tcPr>
            <w:tcW w:type="dxa" w:w="9360"/>
            <w:tcBorders>
              <w:top w:val="none"/>
              <w:left w:val="none"/>
              <w:bottom w:val="single" w:color="2E6B9E" w:sz="2"/>
              <w:right w:val="none"/>
            </w:tcBorders>
          </w:tcPr>
          <w:p/>
        </w:tc>
      </w:tr>
    </w:tbl>
    <w:p>
      <w:pPr>
        <w:spacing w:after="200"/>
      </w:pPr>
    </w:p>
    <w:p>
      <w:pPr>
        <w:pStyle w:val="Heading1"/>
      </w:pPr>
      <w:r>
        <w:rPr>
          <w:rFonts w:ascii="Arial" w:cs="Arial" w:eastAsia="Arial" w:hAnsi="Arial"/>
        </w:rPr>
        <w:t xml:space="preserve">Key Sources &amp; References</w:t>
      </w:r>
    </w:p>
    <w:p>
      <w:pPr>
        <w:pStyle w:val="ListParagraph"/>
        <w:numPr>
          <w:ilvl w:val="0"/>
          <w:numId w:val="2"/>
        </w:numPr>
        <w:spacing w:after="100"/>
      </w:pPr>
      <w:r>
        <w:rPr>
          <w:rFonts w:ascii="Arial" w:cs="Arial" w:eastAsia="Arial" w:hAnsi="Arial"/>
          <w:color w:val="1C1C1C"/>
          <w:sz w:val="22"/>
          <w:szCs w:val="22"/>
        </w:rPr>
        <w:t xml:space="preserve">UNCTAD – “10 Trends Shaping Global Trade in 2026” (January 2026)</w:t>
      </w:r>
    </w:p>
    <w:p>
      <w:pPr>
        <w:pStyle w:val="ListParagraph"/>
        <w:numPr>
          <w:ilvl w:val="0"/>
          <w:numId w:val="2"/>
        </w:numPr>
        <w:spacing w:after="100"/>
      </w:pPr>
      <w:r>
        <w:rPr>
          <w:rFonts w:ascii="Arial" w:cs="Arial" w:eastAsia="Arial" w:hAnsi="Arial"/>
          <w:color w:val="1C1C1C"/>
          <w:sz w:val="22"/>
          <w:szCs w:val="22"/>
        </w:rPr>
        <w:t xml:space="preserve">Edelman Trust Institute – 2026 Trust Barometer: “Insularity”</w:t>
      </w:r>
    </w:p>
    <w:p>
      <w:pPr>
        <w:pStyle w:val="ListParagraph"/>
        <w:numPr>
          <w:ilvl w:val="0"/>
          <w:numId w:val="2"/>
        </w:numPr>
        <w:spacing w:after="100"/>
      </w:pPr>
      <w:r>
        <w:rPr>
          <w:rFonts w:ascii="Arial" w:cs="Arial" w:eastAsia="Arial" w:hAnsi="Arial"/>
          <w:color w:val="1C1C1C"/>
          <w:sz w:val="22"/>
          <w:szCs w:val="22"/>
        </w:rPr>
        <w:t xml:space="preserve">Gartner – Enterprise AI Agent Forecasts (2025)</w:t>
      </w:r>
    </w:p>
    <w:p>
      <w:pPr>
        <w:pStyle w:val="ListParagraph"/>
        <w:numPr>
          <w:ilvl w:val="0"/>
          <w:numId w:val="2"/>
        </w:numPr>
        <w:spacing w:after="100"/>
      </w:pPr>
      <w:r>
        <w:rPr>
          <w:rFonts w:ascii="Arial" w:cs="Arial" w:eastAsia="Arial" w:hAnsi="Arial"/>
          <w:color w:val="1C1C1C"/>
          <w:sz w:val="22"/>
          <w:szCs w:val="22"/>
        </w:rPr>
        <w:t xml:space="preserve">Deloitte – Emerging Tech Trends 2025; Quantum Computing Futures</w:t>
      </w:r>
    </w:p>
    <w:p>
      <w:pPr>
        <w:pStyle w:val="ListParagraph"/>
        <w:numPr>
          <w:ilvl w:val="0"/>
          <w:numId w:val="2"/>
        </w:numPr>
        <w:spacing w:after="100"/>
      </w:pPr>
      <w:r>
        <w:rPr>
          <w:rFonts w:ascii="Arial" w:cs="Arial" w:eastAsia="Arial" w:hAnsi="Arial"/>
          <w:color w:val="1C1C1C"/>
          <w:sz w:val="22"/>
          <w:szCs w:val="22"/>
        </w:rPr>
        <w:t xml:space="preserve">RAND Corporation – “AI’s Power Requirements” (2025)</w:t>
      </w:r>
    </w:p>
    <w:p>
      <w:pPr>
        <w:pStyle w:val="ListParagraph"/>
        <w:numPr>
          <w:ilvl w:val="0"/>
          <w:numId w:val="2"/>
        </w:numPr>
        <w:spacing w:after="100"/>
      </w:pPr>
      <w:r>
        <w:rPr>
          <w:rFonts w:ascii="Arial" w:cs="Arial" w:eastAsia="Arial" w:hAnsi="Arial"/>
          <w:color w:val="1C1C1C"/>
          <w:sz w:val="22"/>
          <w:szCs w:val="22"/>
        </w:rPr>
        <w:t xml:space="preserve">IEA – Global Energy Investment; Electricity 2024 (2025)</w:t>
      </w:r>
    </w:p>
    <w:p>
      <w:pPr>
        <w:pStyle w:val="ListParagraph"/>
        <w:numPr>
          <w:ilvl w:val="0"/>
          <w:numId w:val="2"/>
        </w:numPr>
        <w:spacing w:after="100"/>
      </w:pPr>
      <w:r>
        <w:rPr>
          <w:rFonts w:ascii="Arial" w:cs="Arial" w:eastAsia="Arial" w:hAnsi="Arial"/>
          <w:color w:val="1C1C1C"/>
          <w:sz w:val="22"/>
          <w:szCs w:val="22"/>
        </w:rPr>
        <w:t xml:space="preserve">Swiss Re / Allianz – Global Catastrophe Loss Estimates (2024–2025)</w:t>
      </w:r>
    </w:p>
    <w:p>
      <w:pPr>
        <w:pStyle w:val="ListParagraph"/>
        <w:numPr>
          <w:ilvl w:val="0"/>
          <w:numId w:val="2"/>
        </w:numPr>
        <w:spacing w:after="100"/>
      </w:pPr>
      <w:r>
        <w:rPr>
          <w:rFonts w:ascii="Arial" w:cs="Arial" w:eastAsia="Arial" w:hAnsi="Arial"/>
          <w:color w:val="1C1C1C"/>
          <w:sz w:val="22"/>
          <w:szCs w:val="22"/>
        </w:rPr>
        <w:t xml:space="preserve">Space Foundation – The Space Report 2025 Q2 ($613B economy)</w:t>
      </w:r>
    </w:p>
    <w:p>
      <w:pPr>
        <w:pStyle w:val="ListParagraph"/>
        <w:numPr>
          <w:ilvl w:val="0"/>
          <w:numId w:val="2"/>
        </w:numPr>
        <w:spacing w:after="100"/>
      </w:pPr>
      <w:r>
        <w:rPr>
          <w:rFonts w:ascii="Arial" w:cs="Arial" w:eastAsia="Arial" w:hAnsi="Arial"/>
          <w:color w:val="1C1C1C"/>
          <w:sz w:val="22"/>
          <w:szCs w:val="22"/>
        </w:rPr>
        <w:t xml:space="preserve">IBM / Quantinuum / IonQ – Quantum Computing Roadmaps (2025)</w:t>
      </w:r>
    </w:p>
    <w:p>
      <w:pPr>
        <w:pStyle w:val="ListParagraph"/>
        <w:numPr>
          <w:ilvl w:val="0"/>
          <w:numId w:val="2"/>
        </w:numPr>
        <w:spacing w:after="100"/>
      </w:pPr>
      <w:r>
        <w:rPr>
          <w:rFonts w:ascii="Arial" w:cs="Arial" w:eastAsia="Arial" w:hAnsi="Arial"/>
          <w:color w:val="1C1C1C"/>
          <w:sz w:val="22"/>
          <w:szCs w:val="22"/>
        </w:rPr>
        <w:t xml:space="preserve">Arthur D. Little / OECD – Synthetic Biology Market Analysis</w:t>
      </w:r>
    </w:p>
    <w:p>
      <w:pPr>
        <w:pStyle w:val="ListParagraph"/>
        <w:numPr>
          <w:ilvl w:val="0"/>
          <w:numId w:val="2"/>
        </w:numPr>
        <w:spacing w:after="100"/>
      </w:pPr>
      <w:r>
        <w:rPr>
          <w:rFonts w:ascii="Arial" w:cs="Arial" w:eastAsia="Arial" w:hAnsi="Arial"/>
          <w:color w:val="1C1C1C"/>
          <w:sz w:val="22"/>
          <w:szCs w:val="22"/>
        </w:rPr>
        <w:t xml:space="preserve">Nature Geoscience – “Global Water Security Threatened” (January 2026)</w:t>
      </w:r>
    </w:p>
    <w:p>
      <w:pPr>
        <w:pStyle w:val="ListParagraph"/>
        <w:numPr>
          <w:ilvl w:val="0"/>
          <w:numId w:val="2"/>
        </w:numPr>
        <w:spacing w:after="100"/>
      </w:pPr>
      <w:r>
        <w:rPr>
          <w:rFonts w:ascii="Arial" w:cs="Arial" w:eastAsia="Arial" w:hAnsi="Arial"/>
          <w:color w:val="1C1C1C"/>
          <w:sz w:val="22"/>
          <w:szCs w:val="22"/>
        </w:rPr>
        <w:t xml:space="preserve">Nature Communications – “Day Zero Drought” Emergence (2025)</w:t>
      </w:r>
    </w:p>
    <w:p>
      <w:pPr>
        <w:pStyle w:val="ListParagraph"/>
        <w:numPr>
          <w:ilvl w:val="0"/>
          <w:numId w:val="2"/>
        </w:numPr>
        <w:spacing w:after="100"/>
      </w:pPr>
      <w:r>
        <w:rPr>
          <w:rFonts w:ascii="Arial" w:cs="Arial" w:eastAsia="Arial" w:hAnsi="Arial"/>
          <w:color w:val="1C1C1C"/>
          <w:sz w:val="22"/>
          <w:szCs w:val="22"/>
        </w:rPr>
        <w:t xml:space="preserve">WRI – “25 Countries Facing Extremely High Water Stress”</w:t>
      </w:r>
    </w:p>
    <w:p>
      <w:pPr>
        <w:pStyle w:val="ListParagraph"/>
        <w:numPr>
          <w:ilvl w:val="0"/>
          <w:numId w:val="2"/>
        </w:numPr>
        <w:spacing w:after="100"/>
      </w:pPr>
      <w:r>
        <w:rPr>
          <w:rFonts w:ascii="Arial" w:cs="Arial" w:eastAsia="Arial" w:hAnsi="Arial"/>
          <w:color w:val="1C1C1C"/>
          <w:sz w:val="22"/>
          <w:szCs w:val="22"/>
        </w:rPr>
        <w:t xml:space="preserve">Oxford Economics – Rise of New Megacities (2024)</w:t>
      </w:r>
    </w:p>
    <w:p>
      <w:pPr>
        <w:pStyle w:val="ListParagraph"/>
        <w:numPr>
          <w:ilvl w:val="0"/>
          <w:numId w:val="2"/>
        </w:numPr>
        <w:spacing w:after="100"/>
      </w:pPr>
      <w:r>
        <w:rPr>
          <w:rFonts w:ascii="Arial" w:cs="Arial" w:eastAsia="Arial" w:hAnsi="Arial"/>
          <w:color w:val="1C1C1C"/>
          <w:sz w:val="22"/>
          <w:szCs w:val="22"/>
        </w:rPr>
        <w:t xml:space="preserve">UN Population Division – World Urbanization Prospects</w:t>
      </w:r>
    </w:p>
    <w:p>
      <w:pPr>
        <w:pStyle w:val="ListParagraph"/>
        <w:numPr>
          <w:ilvl w:val="0"/>
          <w:numId w:val="2"/>
        </w:numPr>
        <w:spacing w:after="100"/>
      </w:pPr>
      <w:r>
        <w:rPr>
          <w:rFonts w:ascii="Arial" w:cs="Arial" w:eastAsia="Arial" w:hAnsi="Arial"/>
          <w:color w:val="1C1C1C"/>
          <w:sz w:val="22"/>
          <w:szCs w:val="22"/>
        </w:rPr>
        <w:t xml:space="preserve">MarketsandMarkets – Smart Cities Market ($1.45T by 2030)</w:t>
      </w:r>
    </w:p>
    <w:p>
      <w:pPr>
        <w:pStyle w:val="ListParagraph"/>
        <w:numPr>
          <w:ilvl w:val="0"/>
          <w:numId w:val="2"/>
        </w:numPr>
        <w:spacing w:after="100"/>
      </w:pPr>
      <w:r>
        <w:rPr>
          <w:rFonts w:ascii="Arial" w:cs="Arial" w:eastAsia="Arial" w:hAnsi="Arial"/>
          <w:color w:val="1C1C1C"/>
          <w:sz w:val="22"/>
          <w:szCs w:val="22"/>
        </w:rPr>
        <w:t xml:space="preserve">Cyble / Hornetsecurity / Palo Alto – Cybersecurity &amp; Deepfake Trends (2025–2026)</w:t>
      </w:r>
    </w:p>
    <w:p>
      <w:pPr>
        <w:pStyle w:val="ListParagraph"/>
        <w:numPr>
          <w:ilvl w:val="0"/>
          <w:numId w:val="2"/>
        </w:numPr>
        <w:spacing w:after="100"/>
      </w:pPr>
      <w:r>
        <w:rPr>
          <w:rFonts w:ascii="Arial" w:cs="Arial" w:eastAsia="Arial" w:hAnsi="Arial"/>
          <w:color w:val="1C1C1C"/>
          <w:sz w:val="22"/>
          <w:szCs w:val="22"/>
        </w:rPr>
        <w:t xml:space="preserve">EY – “Megatrends 2026: NAVI World”</w:t>
      </w:r>
    </w:p>
    <w:p>
      <w:pPr>
        <w:pStyle w:val="ListParagraph"/>
        <w:numPr>
          <w:ilvl w:val="0"/>
          <w:numId w:val="2"/>
        </w:numPr>
        <w:spacing w:after="100"/>
      </w:pPr>
      <w:r>
        <w:rPr>
          <w:rFonts w:ascii="Arial" w:cs="Arial" w:eastAsia="Arial" w:hAnsi="Arial"/>
          <w:color w:val="1C1C1C"/>
          <w:sz w:val="22"/>
          <w:szCs w:val="22"/>
        </w:rPr>
        <w:t xml:space="preserve">CEPR / Rhodium Group – Tariff Impact Analysis (2025)</w:t>
      </w:r>
    </w:p>
    <w:p>
      <w:pPr>
        <w:pStyle w:val="ListParagraph"/>
        <w:numPr>
          <w:ilvl w:val="0"/>
          <w:numId w:val="2"/>
        </w:numPr>
        <w:spacing w:after="100"/>
      </w:pPr>
      <w:r>
        <w:rPr>
          <w:rFonts w:ascii="Arial" w:cs="Arial" w:eastAsia="Arial" w:hAnsi="Arial"/>
          <w:color w:val="1C1C1C"/>
          <w:sz w:val="22"/>
          <w:szCs w:val="22"/>
        </w:rPr>
        <w:t xml:space="preserve">WEF / Yale Law Journal – Climate Insurance &amp; Uninsurability (2025)</w:t>
      </w:r>
    </w:p>
    <w:p>
      <w:pPr>
        <w:pStyle w:val="ListParagraph"/>
        <w:numPr>
          <w:ilvl w:val="0"/>
          <w:numId w:val="2"/>
        </w:numPr>
        <w:spacing w:after="100"/>
      </w:pPr>
      <w:r>
        <w:rPr>
          <w:rFonts w:ascii="Arial" w:cs="Arial" w:eastAsia="Arial" w:hAnsi="Arial"/>
          <w:color w:val="1C1C1C"/>
          <w:sz w:val="22"/>
          <w:szCs w:val="22"/>
        </w:rPr>
        <w:t xml:space="preserve">PwC / McKinsey / KPMG – AI Adoption &amp; ROI Surveys (2025)</w:t>
      </w:r>
    </w:p>
    <w:p>
      <w:pPr>
        <w:pStyle w:val="ListParagraph"/>
        <w:numPr>
          <w:ilvl w:val="0"/>
          <w:numId w:val="2"/>
        </w:numPr>
        <w:spacing w:after="100"/>
      </w:pPr>
      <w:r>
        <w:rPr>
          <w:rFonts w:ascii="Arial" w:cs="Arial" w:eastAsia="Arial" w:hAnsi="Arial"/>
          <w:color w:val="1C1C1C"/>
          <w:sz w:val="22"/>
          <w:szCs w:val="22"/>
        </w:rPr>
        <w:t xml:space="preserve">Government Analytica / ORF – Geopolitical Megatrends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Global Megatrends 2025–2050  |  Impact/Impulse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B9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7A6D"/>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573FA5145744E9D7065A8779C8B0D" ma:contentTypeVersion="7" ma:contentTypeDescription="Create a new document." ma:contentTypeScope="" ma:versionID="f0248e86655d1bea78b552fc32a3aa30">
  <xsd:schema xmlns:xsd="http://www.w3.org/2001/XMLSchema" xmlns:xs="http://www.w3.org/2001/XMLSchema" xmlns:p="http://schemas.microsoft.com/office/2006/metadata/properties" xmlns:ns2="3c980424-a818-412c-bb13-52882ce3fa1b" targetNamespace="http://schemas.microsoft.com/office/2006/metadata/properties" ma:root="true" ma:fieldsID="c92ddd723fd8c3e8423c599db5f0096d"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CB294-3414-4C43-B537-1B1A1CFD9D9B}"/>
</file>

<file path=customXml/itemProps2.xml><?xml version="1.0" encoding="utf-8"?>
<ds:datastoreItem xmlns:ds="http://schemas.openxmlformats.org/officeDocument/2006/customXml" ds:itemID="{00A34B0B-E81F-45D6-8FD4-35A10A225D25}"/>
</file>

<file path=customXml/itemProps3.xml><?xml version="1.0" encoding="utf-8"?>
<ds:datastoreItem xmlns:ds="http://schemas.openxmlformats.org/officeDocument/2006/customXml" ds:itemID="{ACF6C7CB-B701-4AA7-94DA-D26E402CFD6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2026-02-09T15:55:38Z</dcterms:created>
  <dcterms:modified xsi:type="dcterms:W3CDTF">2026-02-09T15:55:38Z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ies>
</file>