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26DB" w14:textId="77777777" w:rsidR="00BC5F36" w:rsidRPr="00BC5F36" w:rsidRDefault="00BC5F36" w:rsidP="00BC5F36">
      <w:pPr>
        <w:spacing w:after="120"/>
        <w:outlineLvl w:val="0"/>
        <w:rPr>
          <w:rFonts w:ascii="Arial" w:eastAsia="Times New Roman" w:hAnsi="Arial" w:cs="Arial"/>
          <w:b/>
          <w:bCs/>
          <w:color w:val="1F1F1F"/>
          <w:kern w:val="36"/>
          <w:sz w:val="48"/>
          <w:szCs w:val="48"/>
          <w:lang w:eastAsia="en-GB"/>
          <w14:ligatures w14:val="none"/>
        </w:rPr>
      </w:pPr>
      <w:r w:rsidRPr="00BC5F36">
        <w:rPr>
          <w:rFonts w:ascii="Arial" w:eastAsia="Times New Roman" w:hAnsi="Arial" w:cs="Arial"/>
          <w:b/>
          <w:bCs/>
          <w:color w:val="1F1F1F"/>
          <w:kern w:val="36"/>
          <w:sz w:val="48"/>
          <w:szCs w:val="48"/>
          <w:lang w:eastAsia="en-GB"/>
          <w14:ligatures w14:val="none"/>
        </w:rPr>
        <w:t>The Great Fragmentation: The Emergence of Parallel Global Operating Systems (2025–2026)</w:t>
      </w:r>
    </w:p>
    <w:p w14:paraId="03DB7C79" w14:textId="77777777" w:rsidR="00BC5F36" w:rsidRPr="00BC5F36" w:rsidRDefault="00BC5F36" w:rsidP="00BC5F36">
      <w:pPr>
        <w:spacing w:after="120"/>
        <w:outlineLvl w:val="1"/>
        <w:rPr>
          <w:rFonts w:ascii="Arial" w:eastAsia="Times New Roman" w:hAnsi="Arial" w:cs="Arial"/>
          <w:b/>
          <w:bCs/>
          <w:color w:val="1F1F1F"/>
          <w:kern w:val="0"/>
          <w:sz w:val="36"/>
          <w:szCs w:val="36"/>
          <w:lang w:eastAsia="en-GB"/>
          <w14:ligatures w14:val="none"/>
        </w:rPr>
      </w:pPr>
      <w:r w:rsidRPr="00BC5F36">
        <w:rPr>
          <w:rFonts w:ascii="Arial" w:eastAsia="Times New Roman" w:hAnsi="Arial" w:cs="Arial"/>
          <w:b/>
          <w:bCs/>
          <w:color w:val="1F1F1F"/>
          <w:kern w:val="0"/>
          <w:sz w:val="36"/>
          <w:szCs w:val="36"/>
          <w:lang w:eastAsia="en-GB"/>
          <w14:ligatures w14:val="none"/>
        </w:rPr>
        <w:t>Executive Summary: The Dissolution of Consensus</w:t>
      </w:r>
    </w:p>
    <w:p w14:paraId="1642EA6D"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As the world traverses the turbulent mid-point of the decade, the defining characteristic of the 2025–2026 era is not merely crisis, but structural fragmentation. The unified global operating system that characterized the post-Cold War era—anchored by the US dollar, the open internet, Westphalian state sovereignty, and the von Neumann computing architecture—is fracturing under the weight of divergent geopolitical interests, physical thermodynamic limits, and failing ecological consensus. In its place, we are witnessing the emergence of parallel, often competing, operating systems that force nations, corporations, and individuals to navigate a "multi-stack" reality.</w:t>
      </w:r>
    </w:p>
    <w:p w14:paraId="2028217B"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This report provides an exhaustive analysis of these shifts across four critical dimensions: Geopolitics, Technology, Climate, and Demographics. The analysis is grounded in extensive data from late 2024 through early 2026, creating a comprehensive picture of a world transitioning from a unipolar order to a fractured, modular landscape.</w:t>
      </w:r>
    </w:p>
    <w:p w14:paraId="3E9922E8"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In the geopolitical sphere, the monopoly of the state is being eroded from both above and below. From above, supranational digital currency bridges are bypassing the US dollar’s chokehold on global finance, creating a "sanction-proof" economy that renders traditional tools of economic statecraft obsolete. From below, "Network States" and corporate city-states are carving out zones of quasi-sovereignty, while the privatization of warfare has turned conflict into a tradable asset class.</w:t>
      </w:r>
    </w:p>
    <w:p w14:paraId="13DCF31A"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Simultaneously, the technology sector is colliding with the hard limits of physics. The insatiable energy demands of generative AI are forcing a radical divergence in hardware architecture, pushing the industry toward neuromorphic and quantum realms to escape the thermodynamic bottlenecks of silicon. This technological leap is accompanied by a profound ethical crisis as machines begin to interface directly with the human mind, sparking a new civil rights struggle for "cognitive liberty."</w:t>
      </w:r>
    </w:p>
    <w:p w14:paraId="1E66F79A"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On the environmental front, the failure of collective global mitigation has given way to an era of unilateral action. The "Nuclear Renaissance" is being financed not by states but by data-hungry technology giants, while the taboo on geoengineering is breaking as rogue actors take planetary cooling into their own hands.</w:t>
      </w:r>
    </w:p>
    <w:p w14:paraId="6F358989"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Finally, the social fabric is straining under the weight of a loneliness epidemic in the developed world that has become a Tier-1 economic risk, contrasting violently with the "youth bulge" and labor displacement dynamics in the Global South. As high-net-worth individuals and talent decouple from their nations of origin to shop for jurisdictions like consumers, the very concept of citizenship is being redefined.</w:t>
      </w:r>
    </w:p>
    <w:p w14:paraId="73EA4E9E" w14:textId="77777777" w:rsidR="00BC5F36" w:rsidRPr="00BC5F36" w:rsidRDefault="00F04769" w:rsidP="00BC5F36">
      <w:pPr>
        <w:spacing w:after="120"/>
        <w:rPr>
          <w:rFonts w:ascii="Arial" w:eastAsia="Times New Roman" w:hAnsi="Arial" w:cs="Arial"/>
          <w:kern w:val="0"/>
          <w:lang w:eastAsia="en-GB"/>
          <w14:ligatures w14:val="none"/>
        </w:rPr>
      </w:pPr>
      <w:r w:rsidRPr="00F04769">
        <w:rPr>
          <w:rFonts w:ascii="Times New Roman" w:eastAsia="Times New Roman" w:hAnsi="Times New Roman" w:cs="Times New Roman"/>
          <w:noProof/>
          <w:kern w:val="0"/>
          <w:lang w:eastAsia="en-GB"/>
        </w:rPr>
        <w:pict w14:anchorId="076E8A4E">
          <v:rect id="_x0000_i1030" alt="" style="width:451.3pt;height:.05pt;mso-width-percent:0;mso-height-percent:0;mso-width-percent:0;mso-height-percent:0" o:hralign="center" o:hrstd="t" o:hrnoshade="t" o:hr="t" fillcolor="gray" stroked="f"/>
        </w:pict>
      </w:r>
    </w:p>
    <w:p w14:paraId="7ED6FB5B" w14:textId="77777777" w:rsidR="00BC5F36" w:rsidRPr="00BC5F36" w:rsidRDefault="00BC5F36" w:rsidP="00BC5F36">
      <w:pPr>
        <w:spacing w:after="120"/>
        <w:outlineLvl w:val="1"/>
        <w:rPr>
          <w:rFonts w:ascii="Arial" w:eastAsia="Times New Roman" w:hAnsi="Arial" w:cs="Arial"/>
          <w:b/>
          <w:bCs/>
          <w:color w:val="1F1F1F"/>
          <w:kern w:val="0"/>
          <w:sz w:val="36"/>
          <w:szCs w:val="36"/>
          <w:lang w:eastAsia="en-GB"/>
          <w14:ligatures w14:val="none"/>
        </w:rPr>
      </w:pPr>
      <w:r w:rsidRPr="00BC5F36">
        <w:rPr>
          <w:rFonts w:ascii="Arial" w:eastAsia="Times New Roman" w:hAnsi="Arial" w:cs="Arial"/>
          <w:b/>
          <w:bCs/>
          <w:color w:val="1F1F1F"/>
          <w:kern w:val="0"/>
          <w:sz w:val="36"/>
          <w:szCs w:val="36"/>
          <w:lang w:eastAsia="en-GB"/>
          <w14:ligatures w14:val="none"/>
        </w:rPr>
        <w:lastRenderedPageBreak/>
        <w:t>1. Geopolitics: The Erosion of the State Monopoly</w:t>
      </w:r>
    </w:p>
    <w:p w14:paraId="1875CAEC"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The geopolitical landscape of 2025 is defined by a paradox: borders are hardening, yet the state’s control over what crosses them—money, information, and violence—is dissolving. The Westphalian model, which grants the state a monopoly on these vectors, is being challenged by new entities that operate on different protocols.</w:t>
      </w:r>
    </w:p>
    <w:p w14:paraId="79F672C2"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1.1 The Financial Splinternet: From De-Dollarization to De-Risking</w:t>
      </w:r>
    </w:p>
    <w:p w14:paraId="7E9D7110"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For decades, "de-dollarization" was largely a rhetorical device employed by adversaries of the United States. In 2025, it has transitioned from political aspiration to technical reality, driven not by a unified ideological opposition but by the pragmatic necessity of "de-risking" national economies from the reach of Western financial weaponization. The primary mechanism of this shift is the maturation of Central Bank Digital Currency (CBDC) bridges, which are constructing alternative financial plumbing that bypasses the correspondent banking network entirely.</w:t>
      </w:r>
    </w:p>
    <w:p w14:paraId="790764ED"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Operational Reality of Project mBridge</w:t>
      </w:r>
    </w:p>
    <w:p w14:paraId="2BB7CA84"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The most consequential development in this domain is the full operationalization of </w:t>
      </w:r>
      <w:r w:rsidRPr="00BC5F36">
        <w:rPr>
          <w:rFonts w:ascii="Arial" w:eastAsia="Times New Roman" w:hAnsi="Arial" w:cs="Arial"/>
          <w:b/>
          <w:bCs/>
          <w:color w:val="1F1F1F"/>
          <w:kern w:val="0"/>
          <w:bdr w:val="none" w:sz="0" w:space="0" w:color="auto" w:frame="1"/>
          <w:lang w:eastAsia="en-GB"/>
          <w14:ligatures w14:val="none"/>
        </w:rPr>
        <w:t>Project mBridge</w:t>
      </w:r>
      <w:r w:rsidRPr="00BC5F36">
        <w:rPr>
          <w:rFonts w:ascii="Arial" w:eastAsia="Times New Roman" w:hAnsi="Arial" w:cs="Arial"/>
          <w:color w:val="1F1F1F"/>
          <w:kern w:val="0"/>
          <w:lang w:eastAsia="en-GB"/>
          <w14:ligatures w14:val="none"/>
        </w:rPr>
        <w:t>. Originally conceived as a pilot project involving the Bank for International Settlements (BIS) Innovation Hub and the central banks of Thailand, Hong Kong, China, and the United Arab Emirates, mBridge has evolved into a robust, independent alternative to the SWIFT network.</w:t>
      </w:r>
    </w:p>
    <w:p w14:paraId="44E0EB84"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Data from January 2026 indicates that the platform has processed transaction volumes exceeding </w:t>
      </w:r>
      <w:r w:rsidRPr="00BC5F36">
        <w:rPr>
          <w:rFonts w:ascii="Arial" w:eastAsia="Times New Roman" w:hAnsi="Arial" w:cs="Arial"/>
          <w:b/>
          <w:bCs/>
          <w:color w:val="1F1F1F"/>
          <w:kern w:val="0"/>
          <w:bdr w:val="none" w:sz="0" w:space="0" w:color="auto" w:frame="1"/>
          <w:lang w:eastAsia="en-GB"/>
          <w14:ligatures w14:val="none"/>
        </w:rPr>
        <w:t>$55.5 billion</w:t>
      </w:r>
      <w:r w:rsidRPr="00BC5F36">
        <w:rPr>
          <w:rFonts w:ascii="Arial" w:eastAsia="Times New Roman" w:hAnsi="Arial" w:cs="Arial"/>
          <w:color w:val="1F1F1F"/>
          <w:kern w:val="0"/>
          <w:bdr w:val="none" w:sz="0" w:space="0" w:color="auto" w:frame="1"/>
          <w:lang w:eastAsia="en-GB"/>
          <w14:ligatures w14:val="none"/>
        </w:rPr>
        <w:t>, a staggering 2,500-fold increase since its inception in 2022. This exponential growth signals that the platform has moved beyond the "proof of concept" phase and is now a critical rail for real-world trade settlement. A pivotal moment in the project's trajectory occurred in late 2024, when the BIS formally withdrew from the initiative. While the BIS has historically acted as a neutral convener, its departure was widely interpreted as a response to geopolitical pressure, given the platform's potential to undermine the efficacy of Western sanctions.</w:t>
      </w:r>
    </w:p>
    <w:p w14:paraId="03B7FE53"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The departure of the BIS did not stall the project; rather, it catalyzed its evolution into a distinct, non-Western financial stack. China has since assumed the de facto leadership role in the platform's development and expansion. The implications of this are evident in the currency composition of transactions on the network: approximately </w:t>
      </w:r>
      <w:r w:rsidRPr="00BC5F36">
        <w:rPr>
          <w:rFonts w:ascii="Arial" w:eastAsia="Times New Roman" w:hAnsi="Arial" w:cs="Arial"/>
          <w:b/>
          <w:bCs/>
          <w:color w:val="1F1F1F"/>
          <w:kern w:val="0"/>
          <w:bdr w:val="none" w:sz="0" w:space="0" w:color="auto" w:frame="1"/>
          <w:lang w:eastAsia="en-GB"/>
          <w14:ligatures w14:val="none"/>
        </w:rPr>
        <w:t>95%</w:t>
      </w:r>
      <w:r w:rsidRPr="00BC5F36">
        <w:rPr>
          <w:rFonts w:ascii="Arial" w:eastAsia="Times New Roman" w:hAnsi="Arial" w:cs="Arial"/>
          <w:color w:val="1F1F1F"/>
          <w:kern w:val="0"/>
          <w:bdr w:val="none" w:sz="0" w:space="0" w:color="auto" w:frame="1"/>
          <w:lang w:eastAsia="en-GB"/>
          <w14:ligatures w14:val="none"/>
        </w:rPr>
        <w:t xml:space="preserve"> of all settlements are conducted in </w:t>
      </w:r>
      <w:r w:rsidRPr="00BC5F36">
        <w:rPr>
          <w:rFonts w:ascii="Arial" w:eastAsia="Times New Roman" w:hAnsi="Arial" w:cs="Arial"/>
          <w:b/>
          <w:bCs/>
          <w:color w:val="1F1F1F"/>
          <w:kern w:val="0"/>
          <w:bdr w:val="none" w:sz="0" w:space="0" w:color="auto" w:frame="1"/>
          <w:lang w:eastAsia="en-GB"/>
          <w14:ligatures w14:val="none"/>
        </w:rPr>
        <w:t>e-CNY</w:t>
      </w:r>
      <w:r w:rsidRPr="00BC5F36">
        <w:rPr>
          <w:rFonts w:ascii="Arial" w:eastAsia="Times New Roman" w:hAnsi="Arial" w:cs="Arial"/>
          <w:color w:val="1F1F1F"/>
          <w:kern w:val="0"/>
          <w:bdr w:val="none" w:sz="0" w:space="0" w:color="auto" w:frame="1"/>
          <w:lang w:eastAsia="en-GB"/>
          <w14:ligatures w14:val="none"/>
        </w:rPr>
        <w:t xml:space="preserve"> (the digital yuan). This statistic reveals that while mBridge is ostensibly a multilateral infrastructure, it is functionally acting as a vehicle for the internationalization of the Renminbi. It allows Beijing and its trading partners to settle payments for energy, raw materials, and industrial goods without the transaction ever touching the US banking system or the SWIFT messaging network.</w:t>
      </w:r>
    </w:p>
    <w:p w14:paraId="44A461B0"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Economics of Autonomy</w:t>
      </w:r>
    </w:p>
    <w:p w14:paraId="714464DE"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The allure of mBridge for nations in the Global South is not purely political; it is fundamentally economic. The legacy correspondent banking model is slow, expensive, and opaque. It requires transactions to hop through multiple intermediaries, each extracting a fee and adding latency. In contrast, settlements on the mBridge platform occur within seconds and at costs approximately </w:t>
      </w:r>
      <w:r w:rsidRPr="00BC5F36">
        <w:rPr>
          <w:rFonts w:ascii="Arial" w:eastAsia="Times New Roman" w:hAnsi="Arial" w:cs="Arial"/>
          <w:b/>
          <w:bCs/>
          <w:color w:val="1F1F1F"/>
          <w:kern w:val="0"/>
          <w:bdr w:val="none" w:sz="0" w:space="0" w:color="auto" w:frame="1"/>
          <w:lang w:eastAsia="en-GB"/>
          <w14:ligatures w14:val="none"/>
        </w:rPr>
        <w:t>50% lower</w:t>
      </w:r>
      <w:r w:rsidRPr="00BC5F36">
        <w:rPr>
          <w:rFonts w:ascii="Arial" w:eastAsia="Times New Roman" w:hAnsi="Arial" w:cs="Arial"/>
          <w:color w:val="1F1F1F"/>
          <w:kern w:val="0"/>
          <w:bdr w:val="none" w:sz="0" w:space="0" w:color="auto" w:frame="1"/>
          <w:lang w:eastAsia="en-GB"/>
          <w14:ligatures w14:val="none"/>
        </w:rPr>
        <w:t xml:space="preserve"> than the traditional infrastructure.</w:t>
      </w:r>
    </w:p>
    <w:p w14:paraId="67DE80DF"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lastRenderedPageBreak/>
        <w:t>For a mid-sized economy in Southeast Asia or Africa, the choice between SWIFT and mBridge is becoming a choice between a high-friction, politically conditional system and a low-friction, politically agnostic one. This economic efficiency creates a gravitational pull that is difficult to resist, even for nations that are strategic allies of the United States. The "sanction-proof" nature of the system is a secondary benefit for some and a primary feature for others, but the efficiency gains provide the cover for widespread adoption.</w:t>
      </w:r>
    </w:p>
    <w:p w14:paraId="5E02DE53"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India’s Strategic Pivot: The BRICS Bridge</w:t>
      </w:r>
    </w:p>
    <w:p w14:paraId="2F1804E6"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Parallel to the China-led mBridge, India has utilized its 2026 BRICS chairship to propose a distinct initiative: the </w:t>
      </w:r>
      <w:r w:rsidRPr="00BC5F36">
        <w:rPr>
          <w:rFonts w:ascii="Arial" w:eastAsia="Times New Roman" w:hAnsi="Arial" w:cs="Arial"/>
          <w:b/>
          <w:bCs/>
          <w:color w:val="1F1F1F"/>
          <w:kern w:val="0"/>
          <w:bdr w:val="none" w:sz="0" w:space="0" w:color="auto" w:frame="1"/>
          <w:lang w:eastAsia="en-GB"/>
          <w14:ligatures w14:val="none"/>
        </w:rPr>
        <w:t>BRICS CBDC Bridge</w:t>
      </w:r>
      <w:r w:rsidRPr="00BC5F36">
        <w:rPr>
          <w:rFonts w:ascii="Arial" w:eastAsia="Times New Roman" w:hAnsi="Arial" w:cs="Arial"/>
          <w:color w:val="1F1F1F"/>
          <w:kern w:val="0"/>
          <w:bdr w:val="none" w:sz="0" w:space="0" w:color="auto" w:frame="1"/>
          <w:lang w:eastAsia="en-GB"/>
          <w14:ligatures w14:val="none"/>
        </w:rPr>
        <w:t>. While sharing technical similarities with mBridge, the strategic framing is notably different. Under a "humanity-first" agenda, India is positioning this platform not as a direct challenger to the West, but as a necessary infrastructure for "De-Risking".</w:t>
      </w:r>
    </w:p>
    <w:p w14:paraId="4780B0DD"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The "De-Risking" narrative argues that reliance on any single currency—be it the dollar or the yuan—creates systemic vulnerabilities. By creating a multi-currency corridor that connects the digital currencies of the expanded BRICS bloc (which now includes major economies like Iran, Egypt, and the UAE), India seeks to foster "interoperability without integration". This nuance is critical. Unlike the Eurozone, which required members to surrender monetary sovereignty to a central authority, the BRICS Bridge model allows participating central banks to maintain full control over their domestic monetary policy while facilitating frictionless cross-border trade. It represents a vision of a multipolar financial order where no single hegemon holds the "kill switch."</w:t>
      </w:r>
    </w:p>
    <w:p w14:paraId="2F0DE8CD"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1.2 The Privatization of Conflict: Cyber Mercenaries and the Marketplace of War</w:t>
      </w:r>
    </w:p>
    <w:p w14:paraId="43A8C422"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As financial systems fragment, so too does the state's monopoly on the legitimate use of force. The conflicts of the mid-2020s, from the protracted war in Ukraine to instability across the Sahel, have accelerated the normalization of </w:t>
      </w:r>
      <w:r w:rsidRPr="00BC5F36">
        <w:rPr>
          <w:rFonts w:ascii="Arial" w:eastAsia="Times New Roman" w:hAnsi="Arial" w:cs="Arial"/>
          <w:b/>
          <w:bCs/>
          <w:color w:val="1F1F1F"/>
          <w:kern w:val="0"/>
          <w:bdr w:val="none" w:sz="0" w:space="0" w:color="auto" w:frame="1"/>
          <w:lang w:eastAsia="en-GB"/>
          <w14:ligatures w14:val="none"/>
        </w:rPr>
        <w:t>Private Military Companies (PMCs)</w:t>
      </w:r>
      <w:r w:rsidRPr="00BC5F36">
        <w:rPr>
          <w:rFonts w:ascii="Arial" w:eastAsia="Times New Roman" w:hAnsi="Arial" w:cs="Arial"/>
          <w:color w:val="1F1F1F"/>
          <w:kern w:val="0"/>
          <w:lang w:eastAsia="en-GB"/>
          <w14:ligatures w14:val="none"/>
        </w:rPr>
        <w:t xml:space="preserve"> and </w:t>
      </w:r>
      <w:r w:rsidRPr="00BC5F36">
        <w:rPr>
          <w:rFonts w:ascii="Arial" w:eastAsia="Times New Roman" w:hAnsi="Arial" w:cs="Arial"/>
          <w:b/>
          <w:bCs/>
          <w:color w:val="1F1F1F"/>
          <w:kern w:val="0"/>
          <w:bdr w:val="none" w:sz="0" w:space="0" w:color="auto" w:frame="1"/>
          <w:lang w:eastAsia="en-GB"/>
          <w14:ligatures w14:val="none"/>
        </w:rPr>
        <w:t>Private Sector Offensive Actors (PSOAs)</w:t>
      </w:r>
      <w:r w:rsidRPr="00BC5F36">
        <w:rPr>
          <w:rFonts w:ascii="Arial" w:eastAsia="Times New Roman" w:hAnsi="Arial" w:cs="Arial"/>
          <w:color w:val="1F1F1F"/>
          <w:kern w:val="0"/>
          <w:lang w:eastAsia="en-GB"/>
          <w14:ligatures w14:val="none"/>
        </w:rPr>
        <w:t>. War is increasingly becoming a commercial enterprise, with distinct buyers, sellers, and market dynamics.</w:t>
      </w:r>
    </w:p>
    <w:p w14:paraId="3C792704"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"Invisible Layer" of Modern Warfare</w:t>
      </w:r>
    </w:p>
    <w:p w14:paraId="0EDA960E"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By 2025, the distinction between state military operations and private contractors has blurred to the point of irrelevance. Ukraine has served as the primary "laboratory" for this shift, demonstrating that modern conflict is no longer waged solely with boots and artillery, but is engineered in code and outsourced through opaque contracts.</w:t>
      </w:r>
    </w:p>
    <w:p w14:paraId="72BB4324"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The center of gravity in military strategy has shifted from holding physical territory to controlling data and critical digital infrastructure. In this domain, PMCs have evolved from simple logistics providers or armed guards into sophisticated "system integrators and data brokers". They offer "digital force as a service," selling intrusion tools, zero-day exploits, spyware, and offensive cyber capabilities to the highest bidder. This commoditization of cyber warfare means that advanced offensive capabilities, once the exclusive preserve of superpowers, are now available to smaller states, non-state actors, and even corporate entities with sufficient capital.</w:t>
      </w:r>
    </w:p>
    <w:p w14:paraId="150BB4CA"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Attribution Problem and Gray-Zone Warfare</w:t>
      </w:r>
    </w:p>
    <w:p w14:paraId="7D2374D5"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The rise of these "proxy actors" creates a profound complication for international relations: the Attribution Problem. When a cyberattack cripples a national power grid, </w:t>
      </w:r>
      <w:r w:rsidRPr="00BC5F36">
        <w:rPr>
          <w:rFonts w:ascii="Arial" w:eastAsia="Times New Roman" w:hAnsi="Arial" w:cs="Arial"/>
          <w:color w:val="1F1F1F"/>
          <w:kern w:val="0"/>
          <w:lang w:eastAsia="en-GB"/>
          <w14:ligatures w14:val="none"/>
        </w:rPr>
        <w:lastRenderedPageBreak/>
        <w:t>disrupts a hospital system, or compromises a foreign ministry, determining the true perpetrator is often impossible. Was it a state intelligence agency? A patriotic hacker group? Or a commercial contractor hired through a shell company?</w:t>
      </w:r>
    </w:p>
    <w:p w14:paraId="54460C35"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This ambiguity allows nations to wage "gray-zone" warfare—aggressive actions that damage an adversary but remain below the threshold of open armed conflict—with plausible deniability. By employing cyber mercenaries, states can project power and degrade rival capabilities without triggering formal defense alliances like NATO's Article 5. The "fog of war" has been replaced by the "fog of attribution," where the link between the aggressor and the act is deliberately obscured by a chain of commercial contracts.</w:t>
      </w:r>
    </w:p>
    <w:p w14:paraId="1E4F3E9F"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Global Expansion and the "Warlord Economy"</w:t>
      </w:r>
    </w:p>
    <w:p w14:paraId="61222CC8"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The PMC model is expanding aggressively beyond its traditional operational theaters. Russian PMCs, evolving from the legacy of the Wagner Group, along with new entrants from China and the United States, are increasingly active in resource-rich but institutionally weak regions of Africa. In these environments, PMCs engage in a direct barter: security for resources. They protect mines, oil fields, and government installations in exchange for concessions on gold, diamonds, or energy extraction.</w:t>
      </w:r>
    </w:p>
    <w:p w14:paraId="771CD862"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This dynamic effectively privatizes the security architecture of fragile states. Governments that cannot rely on their own military or police forces become dependent on foreign corporate entities for their survival. This erodes the social contract and transforms the state into a client of the security provider, creating a "warlord economy" where political power flows from the ability to pay the mercenaries.</w:t>
      </w:r>
    </w:p>
    <w:p w14:paraId="28A61EBD"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1.3 Network States and Charter Cities: The New Sovereignty</w:t>
      </w:r>
    </w:p>
    <w:p w14:paraId="07F60B29"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Perhaps the most radical challenge to the Westphalian order is the rise of </w:t>
      </w:r>
      <w:r w:rsidRPr="00BC5F36">
        <w:rPr>
          <w:rFonts w:ascii="Arial" w:eastAsia="Times New Roman" w:hAnsi="Arial" w:cs="Arial"/>
          <w:b/>
          <w:bCs/>
          <w:color w:val="1F1F1F"/>
          <w:kern w:val="0"/>
          <w:bdr w:val="none" w:sz="0" w:space="0" w:color="auto" w:frame="1"/>
          <w:lang w:eastAsia="en-GB"/>
          <w14:ligatures w14:val="none"/>
        </w:rPr>
        <w:t>Network States</w:t>
      </w:r>
      <w:r w:rsidRPr="00BC5F36">
        <w:rPr>
          <w:rFonts w:ascii="Arial" w:eastAsia="Times New Roman" w:hAnsi="Arial" w:cs="Arial"/>
          <w:color w:val="1F1F1F"/>
          <w:kern w:val="0"/>
          <w:lang w:eastAsia="en-GB"/>
          <w14:ligatures w14:val="none"/>
        </w:rPr>
        <w:t xml:space="preserve"> and </w:t>
      </w:r>
      <w:r w:rsidRPr="00BC5F36">
        <w:rPr>
          <w:rFonts w:ascii="Arial" w:eastAsia="Times New Roman" w:hAnsi="Arial" w:cs="Arial"/>
          <w:b/>
          <w:bCs/>
          <w:color w:val="1F1F1F"/>
          <w:kern w:val="0"/>
          <w:bdr w:val="none" w:sz="0" w:space="0" w:color="auto" w:frame="1"/>
          <w:lang w:eastAsia="en-GB"/>
          <w14:ligatures w14:val="none"/>
        </w:rPr>
        <w:t>Charter Cities</w:t>
      </w:r>
      <w:r w:rsidRPr="00BC5F36">
        <w:rPr>
          <w:rFonts w:ascii="Arial" w:eastAsia="Times New Roman" w:hAnsi="Arial" w:cs="Arial"/>
          <w:color w:val="1F1F1F"/>
          <w:kern w:val="0"/>
          <w:lang w:eastAsia="en-GB"/>
          <w14:ligatures w14:val="none"/>
        </w:rPr>
        <w:t>—corporate, community-led, or ideologically driven entities that acquire quasi-sovereign rights to govern themselves. These projects posit that governance is a product that can be innovated, disrupted, and bought, rather than a fixed attribute of the nation-state.</w:t>
      </w:r>
    </w:p>
    <w:p w14:paraId="0516D6DA"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Próspera: The Litigious City-State</w:t>
      </w:r>
    </w:p>
    <w:p w14:paraId="583D0A16"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Próspera</w:t>
      </w:r>
      <w:r w:rsidRPr="00BC5F36">
        <w:rPr>
          <w:rFonts w:ascii="Arial" w:eastAsia="Times New Roman" w:hAnsi="Arial" w:cs="Arial"/>
          <w:color w:val="1F1F1F"/>
          <w:kern w:val="0"/>
          <w:lang w:eastAsia="en-GB"/>
          <w14:ligatures w14:val="none"/>
        </w:rPr>
        <w:t>, a ZEDE (Zone for Employment and Economic Development) on the island of Roatán in Honduras, represents the vanguard of this movement. It operates as a semi-autonomous jurisdiction with its own legal code, tax system, and regulatory framework, distinct from the rest of Honduras.</w:t>
      </w:r>
    </w:p>
    <w:p w14:paraId="38B8E43B"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The relationship between Próspera and the Honduran state illustrates the friction inherent in this new model. Following a change in government, Honduras attempted to repeal the ZEDE law that authorized Próspera's existence. In response, Próspera has leveraged international investment treaties to file a massive </w:t>
      </w:r>
      <w:r w:rsidRPr="00BC5F36">
        <w:rPr>
          <w:rFonts w:ascii="Arial" w:eastAsia="Times New Roman" w:hAnsi="Arial" w:cs="Arial"/>
          <w:b/>
          <w:bCs/>
          <w:color w:val="1F1F1F"/>
          <w:kern w:val="0"/>
          <w:bdr w:val="none" w:sz="0" w:space="0" w:color="auto" w:frame="1"/>
          <w:lang w:eastAsia="en-GB"/>
          <w14:ligatures w14:val="none"/>
        </w:rPr>
        <w:t>$11 billion lawsuit</w:t>
      </w:r>
      <w:r w:rsidRPr="00BC5F36">
        <w:rPr>
          <w:rFonts w:ascii="Arial" w:eastAsia="Times New Roman" w:hAnsi="Arial" w:cs="Arial"/>
          <w:color w:val="1F1F1F"/>
          <w:kern w:val="0"/>
          <w:bdr w:val="none" w:sz="0" w:space="0" w:color="auto" w:frame="1"/>
          <w:lang w:eastAsia="en-GB"/>
          <w14:ligatures w14:val="none"/>
        </w:rPr>
        <w:t xml:space="preserve"> against the Honduran government. This figure is staggering, representing approximately one-third of Honduras's entire GDP.</w:t>
      </w:r>
    </w:p>
    <w:p w14:paraId="2818770A"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The lawsuit underscores the power dynamics at play: a private city-state can utilize international arbitration mechanisms to hold a sovereign nation hostage financially. Próspera markets itself as a "pro-innovation governance framework," boasting a single-digit income tax (compared to Honduras' 25%) and a "choose-your-own-regulation" model where businesses can adopt regulatory standards from various OECD countries. This regulatory arbitrage has attracted libertarian tech billionaires </w:t>
      </w:r>
      <w:r w:rsidRPr="00BC5F36">
        <w:rPr>
          <w:rFonts w:ascii="Arial" w:eastAsia="Times New Roman" w:hAnsi="Arial" w:cs="Arial"/>
          <w:color w:val="1F1F1F"/>
          <w:kern w:val="0"/>
          <w:bdr w:val="none" w:sz="0" w:space="0" w:color="auto" w:frame="1"/>
          <w:lang w:eastAsia="en-GB"/>
          <w14:ligatures w14:val="none"/>
        </w:rPr>
        <w:lastRenderedPageBreak/>
        <w:t>and bio-hackers, turning the zone into a hub for experimental medical treatments—such as gene therapies—that would be illegal or heavily restricted in the US or Europe.</w:t>
      </w:r>
    </w:p>
    <w:p w14:paraId="4D9B78AC"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Praxis: The Internet-Native Nation</w:t>
      </w:r>
    </w:p>
    <w:p w14:paraId="6071479B"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While Próspera fights for its physical territory, </w:t>
      </w:r>
      <w:r w:rsidRPr="00BC5F36">
        <w:rPr>
          <w:rFonts w:ascii="Arial" w:eastAsia="Times New Roman" w:hAnsi="Arial" w:cs="Arial"/>
          <w:b/>
          <w:bCs/>
          <w:color w:val="1F1F1F"/>
          <w:kern w:val="0"/>
          <w:bdr w:val="none" w:sz="0" w:space="0" w:color="auto" w:frame="1"/>
          <w:lang w:eastAsia="en-GB"/>
          <w14:ligatures w14:val="none"/>
        </w:rPr>
        <w:t>Praxis</w:t>
      </w:r>
      <w:r w:rsidRPr="00BC5F36">
        <w:rPr>
          <w:rFonts w:ascii="Arial" w:eastAsia="Times New Roman" w:hAnsi="Arial" w:cs="Arial"/>
          <w:color w:val="1F1F1F"/>
          <w:kern w:val="0"/>
          <w:bdr w:val="none" w:sz="0" w:space="0" w:color="auto" w:frame="1"/>
          <w:lang w:eastAsia="en-GB"/>
          <w14:ligatures w14:val="none"/>
        </w:rPr>
        <w:t xml:space="preserve"> is attempting to build a nation in the cloud first, with the intent of landing it on Earth later. As of January 2026, Praxis claims a "citizenry" of </w:t>
      </w:r>
      <w:r w:rsidRPr="00BC5F36">
        <w:rPr>
          <w:rFonts w:ascii="Arial" w:eastAsia="Times New Roman" w:hAnsi="Arial" w:cs="Arial"/>
          <w:b/>
          <w:bCs/>
          <w:color w:val="1F1F1F"/>
          <w:kern w:val="0"/>
          <w:bdr w:val="none" w:sz="0" w:space="0" w:color="auto" w:frame="1"/>
          <w:lang w:eastAsia="en-GB"/>
          <w14:ligatures w14:val="none"/>
        </w:rPr>
        <w:t>151,068 people</w:t>
      </w:r>
      <w:r w:rsidRPr="00BC5F36">
        <w:rPr>
          <w:rFonts w:ascii="Arial" w:eastAsia="Times New Roman" w:hAnsi="Arial" w:cs="Arial"/>
          <w:color w:val="1F1F1F"/>
          <w:kern w:val="0"/>
          <w:bdr w:val="none" w:sz="0" w:space="0" w:color="auto" w:frame="1"/>
          <w:lang w:eastAsia="en-GB"/>
          <w14:ligatures w14:val="none"/>
        </w:rPr>
        <w:t xml:space="preserve"> from 80 countries.</w:t>
      </w:r>
    </w:p>
    <w:p w14:paraId="74D4FF70"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Praxis represents a shift toward </w:t>
      </w:r>
      <w:r w:rsidRPr="00BC5F36">
        <w:rPr>
          <w:rFonts w:ascii="Arial" w:eastAsia="Times New Roman" w:hAnsi="Arial" w:cs="Arial"/>
          <w:i/>
          <w:iCs/>
          <w:color w:val="1F1F1F"/>
          <w:kern w:val="0"/>
          <w:bdr w:val="none" w:sz="0" w:space="0" w:color="auto" w:frame="1"/>
          <w:lang w:eastAsia="en-GB"/>
          <w14:ligatures w14:val="none"/>
        </w:rPr>
        <w:t>intentional</w:t>
      </w:r>
      <w:r w:rsidRPr="00BC5F36">
        <w:rPr>
          <w:rFonts w:ascii="Arial" w:eastAsia="Times New Roman" w:hAnsi="Arial" w:cs="Arial"/>
          <w:color w:val="1F1F1F"/>
          <w:kern w:val="0"/>
          <w:bdr w:val="none" w:sz="0" w:space="0" w:color="auto" w:frame="1"/>
          <w:lang w:eastAsia="en-GB"/>
          <w14:ligatures w14:val="none"/>
        </w:rPr>
        <w:t xml:space="preserve"> citizenship. Unlike traditional states where citizenship is determined by birth or geography, membership in Praxis is a consumer choice based on shared values—specifically a philosophy of "vitality" and "heroism". The project is actively scouting locations for a physical city, with initial plans for a settlement in the Mediterranean. However, recent reports indicate high-level discussions with politicians in </w:t>
      </w:r>
      <w:r w:rsidRPr="00BC5F36">
        <w:rPr>
          <w:rFonts w:ascii="Arial" w:eastAsia="Times New Roman" w:hAnsi="Arial" w:cs="Arial"/>
          <w:b/>
          <w:bCs/>
          <w:color w:val="1F1F1F"/>
          <w:kern w:val="0"/>
          <w:bdr w:val="none" w:sz="0" w:space="0" w:color="auto" w:frame="1"/>
          <w:lang w:eastAsia="en-GB"/>
          <w14:ligatures w14:val="none"/>
        </w:rPr>
        <w:t>Greenland</w:t>
      </w:r>
      <w:r w:rsidRPr="00BC5F36">
        <w:rPr>
          <w:rFonts w:ascii="Arial" w:eastAsia="Times New Roman" w:hAnsi="Arial" w:cs="Arial"/>
          <w:color w:val="1F1F1F"/>
          <w:kern w:val="0"/>
          <w:bdr w:val="none" w:sz="0" w:space="0" w:color="auto" w:frame="1"/>
          <w:lang w:eastAsia="en-GB"/>
          <w14:ligatures w14:val="none"/>
        </w:rPr>
        <w:t>, suggesting a strategic pivot toward "frontier" locations where sovereignty might be more negotiable and the need for economic development more acute.</w:t>
      </w:r>
    </w:p>
    <w:p w14:paraId="2A586EBD"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African Frontier: Itana and Nkwashi</w:t>
      </w:r>
    </w:p>
    <w:p w14:paraId="1D9D16AA"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Africa is emerging as the primary testing ground for these new urban forms, driven by rapid urbanization and the failure of existing cities to provide adequate infrastructure. </w:t>
      </w:r>
      <w:r w:rsidRPr="00BC5F36">
        <w:rPr>
          <w:rFonts w:ascii="Arial" w:eastAsia="Times New Roman" w:hAnsi="Arial" w:cs="Arial"/>
          <w:b/>
          <w:bCs/>
          <w:color w:val="1F1F1F"/>
          <w:kern w:val="0"/>
          <w:bdr w:val="none" w:sz="0" w:space="0" w:color="auto" w:frame="1"/>
          <w:lang w:eastAsia="en-GB"/>
          <w14:ligatures w14:val="none"/>
        </w:rPr>
        <w:t>Itana (formerly Talent City)</w:t>
      </w:r>
      <w:r w:rsidRPr="00BC5F36">
        <w:rPr>
          <w:rFonts w:ascii="Arial" w:eastAsia="Times New Roman" w:hAnsi="Arial" w:cs="Arial"/>
          <w:color w:val="1F1F1F"/>
          <w:kern w:val="0"/>
          <w:bdr w:val="none" w:sz="0" w:space="0" w:color="auto" w:frame="1"/>
          <w:lang w:eastAsia="en-GB"/>
          <w14:ligatures w14:val="none"/>
        </w:rPr>
        <w:t xml:space="preserve"> in Nigeria is positioning itself as a "Digital Free Zone," creating a curated environment for the global tech diaspora. It offers a "Digital Residency" program that allows entrepreneurs to incorporate businesses and access banking remotely, effectively bypassing the bureaucratic hurdles of the Nigerian state.</w:t>
      </w:r>
    </w:p>
    <w:p w14:paraId="2E7B2E9B"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Similarly, </w:t>
      </w:r>
      <w:r w:rsidRPr="00BC5F36">
        <w:rPr>
          <w:rFonts w:ascii="Arial" w:eastAsia="Times New Roman" w:hAnsi="Arial" w:cs="Arial"/>
          <w:b/>
          <w:bCs/>
          <w:color w:val="1F1F1F"/>
          <w:kern w:val="0"/>
          <w:bdr w:val="none" w:sz="0" w:space="0" w:color="auto" w:frame="1"/>
          <w:lang w:eastAsia="en-GB"/>
          <w14:ligatures w14:val="none"/>
        </w:rPr>
        <w:t>Nkwashi</w:t>
      </w:r>
      <w:r w:rsidRPr="00BC5F36">
        <w:rPr>
          <w:rFonts w:ascii="Arial" w:eastAsia="Times New Roman" w:hAnsi="Arial" w:cs="Arial"/>
          <w:color w:val="1F1F1F"/>
          <w:kern w:val="0"/>
          <w:bdr w:val="none" w:sz="0" w:space="0" w:color="auto" w:frame="1"/>
          <w:lang w:eastAsia="en-GB"/>
          <w14:ligatures w14:val="none"/>
        </w:rPr>
        <w:t xml:space="preserve"> in Zambia is a private satellite city designed for 100,000 residents, managed entirely by a private asset management firm. These projects suggest a future where the wealthy and skilled in the Global South retreat into "bundled" private citadels. These enclaves offer the security, reliable power, and high-speed connectivity that the public state fails to provide, creating a stark bifurcation between the private city and the public slum.</w:t>
      </w:r>
    </w:p>
    <w:p w14:paraId="46B7C8A6" w14:textId="77777777" w:rsidR="00BC5F36" w:rsidRPr="00BC5F36" w:rsidRDefault="00F04769" w:rsidP="00BC5F36">
      <w:pPr>
        <w:spacing w:after="120"/>
        <w:rPr>
          <w:rFonts w:ascii="Arial" w:eastAsia="Times New Roman" w:hAnsi="Arial" w:cs="Arial"/>
          <w:kern w:val="0"/>
          <w:lang w:eastAsia="en-GB"/>
          <w14:ligatures w14:val="none"/>
        </w:rPr>
      </w:pPr>
      <w:r w:rsidRPr="00F04769">
        <w:rPr>
          <w:rFonts w:ascii="Times New Roman" w:eastAsia="Times New Roman" w:hAnsi="Times New Roman" w:cs="Times New Roman"/>
          <w:noProof/>
          <w:kern w:val="0"/>
          <w:lang w:eastAsia="en-GB"/>
        </w:rPr>
        <w:pict w14:anchorId="134A6890">
          <v:rect id="_x0000_i1029" alt="" style="width:451.3pt;height:.05pt;mso-width-percent:0;mso-height-percent:0;mso-width-percent:0;mso-height-percent:0" o:hralign="center" o:hrstd="t" o:hrnoshade="t" o:hr="t" fillcolor="gray" stroked="f"/>
        </w:pict>
      </w:r>
    </w:p>
    <w:p w14:paraId="13996811" w14:textId="77777777" w:rsidR="00BC5F36" w:rsidRPr="00BC5F36" w:rsidRDefault="00BC5F36" w:rsidP="00BC5F36">
      <w:pPr>
        <w:spacing w:after="120"/>
        <w:outlineLvl w:val="1"/>
        <w:rPr>
          <w:rFonts w:ascii="Arial" w:eastAsia="Times New Roman" w:hAnsi="Arial" w:cs="Arial"/>
          <w:b/>
          <w:bCs/>
          <w:color w:val="1F1F1F"/>
          <w:kern w:val="0"/>
          <w:sz w:val="36"/>
          <w:szCs w:val="36"/>
          <w:lang w:eastAsia="en-GB"/>
          <w14:ligatures w14:val="none"/>
        </w:rPr>
      </w:pPr>
      <w:r w:rsidRPr="00BC5F36">
        <w:rPr>
          <w:rFonts w:ascii="Arial" w:eastAsia="Times New Roman" w:hAnsi="Arial" w:cs="Arial"/>
          <w:b/>
          <w:bCs/>
          <w:color w:val="1F1F1F"/>
          <w:kern w:val="0"/>
          <w:sz w:val="36"/>
          <w:szCs w:val="36"/>
          <w:lang w:eastAsia="en-GB"/>
          <w14:ligatures w14:val="none"/>
        </w:rPr>
        <w:t>2. Technology: The Post-Silicon &amp; Post-Human Frontier</w:t>
      </w:r>
    </w:p>
    <w:p w14:paraId="7F3A0CE5"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In the 2025–2026 period, the technology sector is dominated by a collision between the insatiable demand for compute and the physical limits of energy and silicon. The exponential growth of AI models has hit a "Thermodynamic Wall," driving a radical divergence in hardware architecture and a growing ethical battle over the data of the human mind.</w:t>
      </w:r>
    </w:p>
    <w:p w14:paraId="710D9A49"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2.1 The Energy-Compute Nexus: Hitting the Thermodynamic Wall</w:t>
      </w:r>
    </w:p>
    <w:p w14:paraId="31E4CE58"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The deployment of Generative AI has transitioned from a software challenge to a physics challenge. The training of trillion-parameter models requires energy on the scale of entire nation-states, creating an unsustainable trajectory for the current semiconductor paradigm.</w:t>
      </w:r>
    </w:p>
    <w:p w14:paraId="31CCC822"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Blackwell Era and the Efficiency Desperation</w:t>
      </w:r>
    </w:p>
    <w:p w14:paraId="182682BE"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NVIDIA's </w:t>
      </w:r>
      <w:r w:rsidRPr="00BC5F36">
        <w:rPr>
          <w:rFonts w:ascii="Arial" w:eastAsia="Times New Roman" w:hAnsi="Arial" w:cs="Arial"/>
          <w:b/>
          <w:bCs/>
          <w:color w:val="1F1F1F"/>
          <w:kern w:val="0"/>
          <w:bdr w:val="none" w:sz="0" w:space="0" w:color="auto" w:frame="1"/>
          <w:lang w:eastAsia="en-GB"/>
          <w14:ligatures w14:val="none"/>
        </w:rPr>
        <w:t>Blackwell B200</w:t>
      </w:r>
      <w:r w:rsidRPr="00BC5F36">
        <w:rPr>
          <w:rFonts w:ascii="Arial" w:eastAsia="Times New Roman" w:hAnsi="Arial" w:cs="Arial"/>
          <w:color w:val="1F1F1F"/>
          <w:kern w:val="0"/>
          <w:bdr w:val="none" w:sz="0" w:space="0" w:color="auto" w:frame="1"/>
          <w:lang w:eastAsia="en-GB"/>
          <w14:ligatures w14:val="none"/>
        </w:rPr>
        <w:t xml:space="preserve"> GPU, which saw full deployment in 2025, represents the pinnacle of classical silicon engineering. It offers a </w:t>
      </w:r>
      <w:r w:rsidRPr="00BC5F36">
        <w:rPr>
          <w:rFonts w:ascii="Arial" w:eastAsia="Times New Roman" w:hAnsi="Arial" w:cs="Arial"/>
          <w:b/>
          <w:bCs/>
          <w:color w:val="1F1F1F"/>
          <w:kern w:val="0"/>
          <w:bdr w:val="none" w:sz="0" w:space="0" w:color="auto" w:frame="1"/>
          <w:lang w:eastAsia="en-GB"/>
          <w14:ligatures w14:val="none"/>
        </w:rPr>
        <w:t>2.5x performance increase</w:t>
      </w:r>
      <w:r w:rsidRPr="00BC5F36">
        <w:rPr>
          <w:rFonts w:ascii="Arial" w:eastAsia="Times New Roman" w:hAnsi="Arial" w:cs="Arial"/>
          <w:color w:val="1F1F1F"/>
          <w:kern w:val="0"/>
          <w:bdr w:val="none" w:sz="0" w:space="0" w:color="auto" w:frame="1"/>
          <w:lang w:eastAsia="en-GB"/>
          <w14:ligatures w14:val="none"/>
        </w:rPr>
        <w:t xml:space="preserve"> over </w:t>
      </w:r>
      <w:r w:rsidRPr="00BC5F36">
        <w:rPr>
          <w:rFonts w:ascii="Arial" w:eastAsia="Times New Roman" w:hAnsi="Arial" w:cs="Arial"/>
          <w:color w:val="1F1F1F"/>
          <w:kern w:val="0"/>
          <w:bdr w:val="none" w:sz="0" w:space="0" w:color="auto" w:frame="1"/>
          <w:lang w:eastAsia="en-GB"/>
          <w14:ligatures w14:val="none"/>
        </w:rPr>
        <w:lastRenderedPageBreak/>
        <w:t xml:space="preserve">the previous H200 generation and up to </w:t>
      </w:r>
      <w:r w:rsidRPr="00BC5F36">
        <w:rPr>
          <w:rFonts w:ascii="Arial" w:eastAsia="Times New Roman" w:hAnsi="Arial" w:cs="Arial"/>
          <w:b/>
          <w:bCs/>
          <w:color w:val="1F1F1F"/>
          <w:kern w:val="0"/>
          <w:bdr w:val="none" w:sz="0" w:space="0" w:color="auto" w:frame="1"/>
          <w:lang w:eastAsia="en-GB"/>
          <w14:ligatures w14:val="none"/>
        </w:rPr>
        <w:t>15x better inference performance</w:t>
      </w:r>
      <w:r w:rsidRPr="00BC5F36">
        <w:rPr>
          <w:rFonts w:ascii="Arial" w:eastAsia="Times New Roman" w:hAnsi="Arial" w:cs="Arial"/>
          <w:color w:val="1F1F1F"/>
          <w:kern w:val="0"/>
          <w:bdr w:val="none" w:sz="0" w:space="0" w:color="auto" w:frame="1"/>
          <w:lang w:eastAsia="en-GB"/>
          <w14:ligatures w14:val="none"/>
        </w:rPr>
        <w:t xml:space="preserve"> for large models. However, this performance comes at the cost of immense energy density. The sheer power required to run clusters of these chips is stressing data center infrastructure to the breaking point.</w:t>
      </w:r>
    </w:p>
    <w:p w14:paraId="187263F4"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The Department of Energy (DOE) stated in late 2024 that data center load growth had tripled over the past decade and is projected to </w:t>
      </w:r>
      <w:r w:rsidRPr="00BC5F36">
        <w:rPr>
          <w:rFonts w:ascii="Arial" w:eastAsia="Times New Roman" w:hAnsi="Arial" w:cs="Arial"/>
          <w:b/>
          <w:bCs/>
          <w:color w:val="1F1F1F"/>
          <w:kern w:val="0"/>
          <w:bdr w:val="none" w:sz="0" w:space="0" w:color="auto" w:frame="1"/>
          <w:lang w:eastAsia="en-GB"/>
          <w14:ligatures w14:val="none"/>
        </w:rPr>
        <w:t>double or triple again by 2028</w:t>
      </w:r>
      <w:r w:rsidRPr="00BC5F36">
        <w:rPr>
          <w:rFonts w:ascii="Arial" w:eastAsia="Times New Roman" w:hAnsi="Arial" w:cs="Arial"/>
          <w:color w:val="1F1F1F"/>
          <w:kern w:val="0"/>
          <w:bdr w:val="none" w:sz="0" w:space="0" w:color="auto" w:frame="1"/>
          <w:lang w:eastAsia="en-GB"/>
          <w14:ligatures w14:val="none"/>
        </w:rPr>
        <w:t xml:space="preserve">. By 2028, data centers are expected to consume between </w:t>
      </w:r>
      <w:r w:rsidRPr="00BC5F36">
        <w:rPr>
          <w:rFonts w:ascii="Arial" w:eastAsia="Times New Roman" w:hAnsi="Arial" w:cs="Arial"/>
          <w:b/>
          <w:bCs/>
          <w:color w:val="1F1F1F"/>
          <w:kern w:val="0"/>
          <w:bdr w:val="none" w:sz="0" w:space="0" w:color="auto" w:frame="1"/>
          <w:lang w:eastAsia="en-GB"/>
          <w14:ligatures w14:val="none"/>
        </w:rPr>
        <w:t>6.7% and 12%</w:t>
      </w:r>
      <w:r w:rsidRPr="00BC5F36">
        <w:rPr>
          <w:rFonts w:ascii="Arial" w:eastAsia="Times New Roman" w:hAnsi="Arial" w:cs="Arial"/>
          <w:color w:val="1F1F1F"/>
          <w:kern w:val="0"/>
          <w:bdr w:val="none" w:sz="0" w:space="0" w:color="auto" w:frame="1"/>
          <w:lang w:eastAsia="en-GB"/>
          <w14:ligatures w14:val="none"/>
        </w:rPr>
        <w:t xml:space="preserve"> of total US electricity. This exponential demand curve is incompatible with grid capacity and climate goals, forcing the industry to look beyond the von Neumann architecture.</w:t>
      </w:r>
    </w:p>
    <w:p w14:paraId="77715291"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Neuromorphic Pivot</w:t>
      </w:r>
    </w:p>
    <w:p w14:paraId="51797717"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The fundamental inefficiency of traditional computing lies in the "von Neumann bottleneck"—the constant movement of data between memory and processing units, which consumes vast amounts of energy. To circumvent this, the industry is pivoting toward </w:t>
      </w:r>
      <w:r w:rsidRPr="00BC5F36">
        <w:rPr>
          <w:rFonts w:ascii="Arial" w:eastAsia="Times New Roman" w:hAnsi="Arial" w:cs="Arial"/>
          <w:b/>
          <w:bCs/>
          <w:color w:val="1F1F1F"/>
          <w:kern w:val="0"/>
          <w:bdr w:val="none" w:sz="0" w:space="0" w:color="auto" w:frame="1"/>
          <w:lang w:eastAsia="en-GB"/>
          <w14:ligatures w14:val="none"/>
        </w:rPr>
        <w:t>Neuromorphic Computing</w:t>
      </w:r>
      <w:r w:rsidRPr="00BC5F36">
        <w:rPr>
          <w:rFonts w:ascii="Arial" w:eastAsia="Times New Roman" w:hAnsi="Arial" w:cs="Arial"/>
          <w:color w:val="1F1F1F"/>
          <w:kern w:val="0"/>
          <w:lang w:eastAsia="en-GB"/>
          <w14:ligatures w14:val="none"/>
        </w:rPr>
        <w:t>, which mimics the neural structure of the human brain.</w:t>
      </w:r>
    </w:p>
    <w:p w14:paraId="3BDA9548" w14:textId="77777777" w:rsidR="00BC5F36" w:rsidRPr="00BC5F36" w:rsidRDefault="00BC5F36" w:rsidP="00BC5F36">
      <w:pPr>
        <w:numPr>
          <w:ilvl w:val="0"/>
          <w:numId w:val="1"/>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1/10,000th Advantage</w:t>
      </w:r>
      <w:r w:rsidRPr="00BC5F36">
        <w:rPr>
          <w:rFonts w:ascii="Arial" w:eastAsia="Times New Roman" w:hAnsi="Arial" w:cs="Arial"/>
          <w:color w:val="1F1F1F"/>
          <w:kern w:val="0"/>
          <w:bdr w:val="none" w:sz="0" w:space="0" w:color="auto" w:frame="1"/>
          <w:lang w:eastAsia="en-GB"/>
          <w14:ligatures w14:val="none"/>
        </w:rPr>
        <w:t xml:space="preserve">: New neuromorphic devices appearing in 2025 research report energy consumption of approximately </w:t>
      </w:r>
      <w:r w:rsidRPr="00BC5F36">
        <w:rPr>
          <w:rFonts w:ascii="Arial" w:eastAsia="Times New Roman" w:hAnsi="Arial" w:cs="Arial"/>
          <w:b/>
          <w:bCs/>
          <w:color w:val="1F1F1F"/>
          <w:kern w:val="0"/>
          <w:bdr w:val="none" w:sz="0" w:space="0" w:color="auto" w:frame="1"/>
          <w:lang w:eastAsia="en-GB"/>
          <w14:ligatures w14:val="none"/>
        </w:rPr>
        <w:t>0.14 femtojoules per synaptic event</w:t>
      </w:r>
      <w:r w:rsidRPr="00BC5F36">
        <w:rPr>
          <w:rFonts w:ascii="Arial" w:eastAsia="Times New Roman" w:hAnsi="Arial" w:cs="Arial"/>
          <w:color w:val="1F1F1F"/>
          <w:kern w:val="0"/>
          <w:bdr w:val="none" w:sz="0" w:space="0" w:color="auto" w:frame="1"/>
          <w:lang w:eastAsia="en-GB"/>
          <w14:ligatures w14:val="none"/>
        </w:rPr>
        <w:t>. This is orders of magnitude lower than traditional transistors.</w:t>
      </w:r>
    </w:p>
    <w:p w14:paraId="4B9DC286" w14:textId="77777777" w:rsidR="00BC5F36" w:rsidRPr="00BC5F36" w:rsidRDefault="00BC5F36" w:rsidP="00BC5F36">
      <w:pPr>
        <w:numPr>
          <w:ilvl w:val="0"/>
          <w:numId w:val="1"/>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Edge AI Dominance</w:t>
      </w:r>
      <w:r w:rsidRPr="00BC5F36">
        <w:rPr>
          <w:rFonts w:ascii="Arial" w:eastAsia="Times New Roman" w:hAnsi="Arial" w:cs="Arial"/>
          <w:color w:val="1F1F1F"/>
          <w:kern w:val="0"/>
          <w:bdr w:val="none" w:sz="0" w:space="0" w:color="auto" w:frame="1"/>
          <w:lang w:eastAsia="en-GB"/>
          <w14:ligatures w14:val="none"/>
        </w:rPr>
        <w:t xml:space="preserve">: The efficiency of neuromorphic chips makes them ideal for Edge AI—processing data locally on devices rather than in centralized data centers. Japanese Neural Processing Unit (NPU) developments in 2025 demonstrated a </w:t>
      </w:r>
      <w:r w:rsidRPr="00BC5F36">
        <w:rPr>
          <w:rFonts w:ascii="Arial" w:eastAsia="Times New Roman" w:hAnsi="Arial" w:cs="Arial"/>
          <w:b/>
          <w:bCs/>
          <w:color w:val="1F1F1F"/>
          <w:kern w:val="0"/>
          <w:bdr w:val="none" w:sz="0" w:space="0" w:color="auto" w:frame="1"/>
          <w:lang w:eastAsia="en-GB"/>
          <w14:ligatures w14:val="none"/>
        </w:rPr>
        <w:t>1.3–1.9x FPS/Watt advantage</w:t>
      </w:r>
      <w:r w:rsidRPr="00BC5F36">
        <w:rPr>
          <w:rFonts w:ascii="Arial" w:eastAsia="Times New Roman" w:hAnsi="Arial" w:cs="Arial"/>
          <w:color w:val="1F1F1F"/>
          <w:kern w:val="0"/>
          <w:bdr w:val="none" w:sz="0" w:space="0" w:color="auto" w:frame="1"/>
          <w:lang w:eastAsia="en-GB"/>
          <w14:ligatures w14:val="none"/>
        </w:rPr>
        <w:t xml:space="preserve"> over GPUs for object detection tasks. This suggests a future where AI processing is distributed and decentralized, moving from energy-hungry server farms to efficient, brain-like devices embedded in the physical world.</w:t>
      </w:r>
    </w:p>
    <w:p w14:paraId="7E3C6093"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2.2 Quantum Reality: The "Q-Day" Roadmap</w:t>
      </w:r>
    </w:p>
    <w:p w14:paraId="6D51D5B2"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Quantum computing has moved from the realm of theoretical physics to "utility-scale" engineering in 2025–2026. The industry is no longer just chasing qubit counts; it is chasing </w:t>
      </w:r>
      <w:r w:rsidRPr="00BC5F36">
        <w:rPr>
          <w:rFonts w:ascii="Arial" w:eastAsia="Times New Roman" w:hAnsi="Arial" w:cs="Arial"/>
          <w:i/>
          <w:iCs/>
          <w:color w:val="1F1F1F"/>
          <w:kern w:val="0"/>
          <w:bdr w:val="none" w:sz="0" w:space="0" w:color="auto" w:frame="1"/>
          <w:lang w:eastAsia="en-GB"/>
          <w14:ligatures w14:val="none"/>
        </w:rPr>
        <w:t>logical</w:t>
      </w:r>
      <w:r w:rsidRPr="00BC5F36">
        <w:rPr>
          <w:rFonts w:ascii="Arial" w:eastAsia="Times New Roman" w:hAnsi="Arial" w:cs="Arial"/>
          <w:color w:val="1F1F1F"/>
          <w:kern w:val="0"/>
          <w:lang w:eastAsia="en-GB"/>
          <w14:ligatures w14:val="none"/>
        </w:rPr>
        <w:t>, error-corrected qubits that can perform reliable calculations.</w:t>
      </w:r>
    </w:p>
    <w:p w14:paraId="777FF5E3"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Hardware Milestones</w:t>
      </w:r>
    </w:p>
    <w:p w14:paraId="0308F8C9" w14:textId="77777777" w:rsidR="00BC5F36" w:rsidRPr="00BC5F36" w:rsidRDefault="00BC5F36" w:rsidP="00BC5F36">
      <w:pPr>
        <w:spacing w:after="12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Major players have unveiled roadmaps that extend deep into the 2030s, but significant milestones have already been reached in 2025:</w:t>
      </w:r>
    </w:p>
    <w:p w14:paraId="0A3CD91E" w14:textId="77777777" w:rsidR="00BC5F36" w:rsidRPr="00BC5F36" w:rsidRDefault="00BC5F36" w:rsidP="00BC5F36">
      <w:pPr>
        <w:numPr>
          <w:ilvl w:val="0"/>
          <w:numId w:val="2"/>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IBM's Kookaburra</w:t>
      </w:r>
      <w:r w:rsidRPr="00BC5F36">
        <w:rPr>
          <w:rFonts w:ascii="Arial" w:eastAsia="Times New Roman" w:hAnsi="Arial" w:cs="Arial"/>
          <w:color w:val="1F1F1F"/>
          <w:kern w:val="0"/>
          <w:bdr w:val="none" w:sz="0" w:space="0" w:color="auto" w:frame="1"/>
          <w:lang w:eastAsia="en-GB"/>
          <w14:ligatures w14:val="none"/>
        </w:rPr>
        <w:t xml:space="preserve">: Released in 2025, this processor features </w:t>
      </w:r>
      <w:r w:rsidRPr="00BC5F36">
        <w:rPr>
          <w:rFonts w:ascii="Arial" w:eastAsia="Times New Roman" w:hAnsi="Arial" w:cs="Arial"/>
          <w:b/>
          <w:bCs/>
          <w:color w:val="1F1F1F"/>
          <w:kern w:val="0"/>
          <w:bdr w:val="none" w:sz="0" w:space="0" w:color="auto" w:frame="1"/>
          <w:lang w:eastAsia="en-GB"/>
          <w14:ligatures w14:val="none"/>
        </w:rPr>
        <w:t>1,386 qubits</w:t>
      </w:r>
      <w:r w:rsidRPr="00BC5F36">
        <w:rPr>
          <w:rFonts w:ascii="Arial" w:eastAsia="Times New Roman" w:hAnsi="Arial" w:cs="Arial"/>
          <w:color w:val="1F1F1F"/>
          <w:kern w:val="0"/>
          <w:bdr w:val="none" w:sz="0" w:space="0" w:color="auto" w:frame="1"/>
          <w:lang w:eastAsia="en-GB"/>
          <w14:ligatures w14:val="none"/>
        </w:rPr>
        <w:t xml:space="preserve">. By linking three of these chips via quantum communication links, IBM has created a massive </w:t>
      </w:r>
      <w:r w:rsidRPr="00BC5F36">
        <w:rPr>
          <w:rFonts w:ascii="Arial" w:eastAsia="Times New Roman" w:hAnsi="Arial" w:cs="Arial"/>
          <w:b/>
          <w:bCs/>
          <w:color w:val="1F1F1F"/>
          <w:kern w:val="0"/>
          <w:bdr w:val="none" w:sz="0" w:space="0" w:color="auto" w:frame="1"/>
          <w:lang w:eastAsia="en-GB"/>
          <w14:ligatures w14:val="none"/>
        </w:rPr>
        <w:t>4,158-qubit system</w:t>
      </w:r>
      <w:r w:rsidRPr="00BC5F36">
        <w:rPr>
          <w:rFonts w:ascii="Arial" w:eastAsia="Times New Roman" w:hAnsi="Arial" w:cs="Arial"/>
          <w:color w:val="1F1F1F"/>
          <w:kern w:val="0"/>
          <w:bdr w:val="none" w:sz="0" w:space="0" w:color="auto" w:frame="1"/>
          <w:lang w:eastAsia="en-GB"/>
          <w14:ligatures w14:val="none"/>
        </w:rPr>
        <w:t>.</w:t>
      </w:r>
    </w:p>
    <w:p w14:paraId="5B61F9D0" w14:textId="77777777" w:rsidR="00BC5F36" w:rsidRPr="00BC5F36" w:rsidRDefault="00BC5F36" w:rsidP="00BC5F36">
      <w:pPr>
        <w:numPr>
          <w:ilvl w:val="0"/>
          <w:numId w:val="2"/>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Google's Willow</w:t>
      </w:r>
      <w:r w:rsidRPr="00BC5F36">
        <w:rPr>
          <w:rFonts w:ascii="Arial" w:eastAsia="Times New Roman" w:hAnsi="Arial" w:cs="Arial"/>
          <w:color w:val="1F1F1F"/>
          <w:kern w:val="0"/>
          <w:bdr w:val="none" w:sz="0" w:space="0" w:color="auto" w:frame="1"/>
          <w:lang w:eastAsia="en-GB"/>
          <w14:ligatures w14:val="none"/>
        </w:rPr>
        <w:t xml:space="preserve">: Google's 105-qubit Willow chip achieved a critical breakthrough in error correction. It demonstrated that as the number of qubits increased, the error rate </w:t>
      </w:r>
      <w:r w:rsidRPr="00BC5F36">
        <w:rPr>
          <w:rFonts w:ascii="Arial" w:eastAsia="Times New Roman" w:hAnsi="Arial" w:cs="Arial"/>
          <w:i/>
          <w:iCs/>
          <w:color w:val="1F1F1F"/>
          <w:kern w:val="0"/>
          <w:bdr w:val="none" w:sz="0" w:space="0" w:color="auto" w:frame="1"/>
          <w:lang w:eastAsia="en-GB"/>
          <w14:ligatures w14:val="none"/>
        </w:rPr>
        <w:t>decreased</w:t>
      </w:r>
      <w:r w:rsidRPr="00BC5F36">
        <w:rPr>
          <w:rFonts w:ascii="Arial" w:eastAsia="Times New Roman" w:hAnsi="Arial" w:cs="Arial"/>
          <w:color w:val="1F1F1F"/>
          <w:kern w:val="0"/>
          <w:bdr w:val="none" w:sz="0" w:space="0" w:color="auto" w:frame="1"/>
          <w:lang w:eastAsia="en-GB"/>
          <w14:ligatures w14:val="none"/>
        </w:rPr>
        <w:t xml:space="preserve"> exponentially—a necessary condition for scalable quantum computing. In a benchmark test, Willow performed a calculation in 5 minutes that would take a classical supercomputer </w:t>
      </w:r>
      <w:r w:rsidRPr="00BC5F36">
        <w:rPr>
          <w:rFonts w:ascii="Arial" w:eastAsia="Times New Roman" w:hAnsi="Arial" w:cs="Arial"/>
          <w:b/>
          <w:bCs/>
          <w:color w:val="1F1F1F"/>
          <w:kern w:val="0"/>
          <w:bdr w:val="none" w:sz="0" w:space="0" w:color="auto" w:frame="1"/>
          <w:lang w:eastAsia="en-GB"/>
          <w14:ligatures w14:val="none"/>
        </w:rPr>
        <w:t>10^25 years</w:t>
      </w:r>
      <w:r w:rsidRPr="00BC5F36">
        <w:rPr>
          <w:rFonts w:ascii="Arial" w:eastAsia="Times New Roman" w:hAnsi="Arial" w:cs="Arial"/>
          <w:color w:val="1F1F1F"/>
          <w:kern w:val="0"/>
          <w:bdr w:val="none" w:sz="0" w:space="0" w:color="auto" w:frame="1"/>
          <w:lang w:eastAsia="en-GB"/>
          <w14:ligatures w14:val="none"/>
        </w:rPr>
        <w:t>.</w:t>
      </w:r>
    </w:p>
    <w:p w14:paraId="58B98DF2" w14:textId="77777777" w:rsidR="00BC5F36" w:rsidRPr="00BC5F36" w:rsidRDefault="00BC5F36" w:rsidP="00BC5F36">
      <w:pPr>
        <w:numPr>
          <w:ilvl w:val="0"/>
          <w:numId w:val="2"/>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Commercial Utility</w:t>
      </w:r>
      <w:r w:rsidRPr="00BC5F36">
        <w:rPr>
          <w:rFonts w:ascii="Arial" w:eastAsia="Times New Roman" w:hAnsi="Arial" w:cs="Arial"/>
          <w:color w:val="1F1F1F"/>
          <w:kern w:val="0"/>
          <w:bdr w:val="none" w:sz="0" w:space="0" w:color="auto" w:frame="1"/>
          <w:lang w:eastAsia="en-GB"/>
          <w14:ligatures w14:val="none"/>
        </w:rPr>
        <w:t xml:space="preserve">: In March 2025, </w:t>
      </w:r>
      <w:r w:rsidRPr="00BC5F36">
        <w:rPr>
          <w:rFonts w:ascii="Arial" w:eastAsia="Times New Roman" w:hAnsi="Arial" w:cs="Arial"/>
          <w:b/>
          <w:bCs/>
          <w:color w:val="1F1F1F"/>
          <w:kern w:val="0"/>
          <w:bdr w:val="none" w:sz="0" w:space="0" w:color="auto" w:frame="1"/>
          <w:lang w:eastAsia="en-GB"/>
          <w14:ligatures w14:val="none"/>
        </w:rPr>
        <w:t>IonQ and Ansys</w:t>
      </w:r>
      <w:r w:rsidRPr="00BC5F36">
        <w:rPr>
          <w:rFonts w:ascii="Arial" w:eastAsia="Times New Roman" w:hAnsi="Arial" w:cs="Arial"/>
          <w:color w:val="1F1F1F"/>
          <w:kern w:val="0"/>
          <w:bdr w:val="none" w:sz="0" w:space="0" w:color="auto" w:frame="1"/>
          <w:lang w:eastAsia="en-GB"/>
          <w14:ligatures w14:val="none"/>
        </w:rPr>
        <w:t xml:space="preserve"> successfully ran a medical device simulation on a 36-qubit system that outperformed classical High-Performance Computing (HPC) by 12%. This is one of the first documented instances of "Quantum Advantage" in a commercially relevant application, validating the technology's potential beyond academic research.</w:t>
      </w:r>
    </w:p>
    <w:p w14:paraId="61877552"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Post-Quantum Cryptography (PQC) and the Security Panic</w:t>
      </w:r>
    </w:p>
    <w:p w14:paraId="24ACC706"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lastRenderedPageBreak/>
        <w:t xml:space="preserve">The rapid advancement of quantum hardware has triggered a global security race. The existential threat is </w:t>
      </w:r>
      <w:r w:rsidRPr="00BC5F36">
        <w:rPr>
          <w:rFonts w:ascii="Arial" w:eastAsia="Times New Roman" w:hAnsi="Arial" w:cs="Arial"/>
          <w:b/>
          <w:bCs/>
          <w:color w:val="1F1F1F"/>
          <w:kern w:val="0"/>
          <w:bdr w:val="none" w:sz="0" w:space="0" w:color="auto" w:frame="1"/>
          <w:lang w:eastAsia="en-GB"/>
          <w14:ligatures w14:val="none"/>
        </w:rPr>
        <w:t>"Harvest Now, Decrypt Later"</w:t>
      </w:r>
      <w:r w:rsidRPr="00BC5F36">
        <w:rPr>
          <w:rFonts w:ascii="Arial" w:eastAsia="Times New Roman" w:hAnsi="Arial" w:cs="Arial"/>
          <w:color w:val="1F1F1F"/>
          <w:kern w:val="0"/>
          <w:lang w:eastAsia="en-GB"/>
          <w14:ligatures w14:val="none"/>
        </w:rPr>
        <w:t>—adversaries stealing encrypted data today (which they cannot yet read) and storing it until a sufficiently powerful quantum computer ("Q-Day") becomes available to break the encryption.</w:t>
      </w:r>
    </w:p>
    <w:p w14:paraId="135BEACD" w14:textId="77777777" w:rsidR="00BC5F36" w:rsidRPr="00BC5F36" w:rsidRDefault="00BC5F36" w:rsidP="00BC5F36">
      <w:pPr>
        <w:spacing w:after="12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To counter this, the transition to Post-Quantum Cryptography (PQC) has begun in earnest.</w:t>
      </w:r>
    </w:p>
    <w:p w14:paraId="484B8819" w14:textId="77777777" w:rsidR="00BC5F36" w:rsidRPr="00BC5F36" w:rsidRDefault="00BC5F36" w:rsidP="00BC5F36">
      <w:pPr>
        <w:numPr>
          <w:ilvl w:val="0"/>
          <w:numId w:val="3"/>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NIST Standards</w:t>
      </w:r>
      <w:r w:rsidRPr="00BC5F36">
        <w:rPr>
          <w:rFonts w:ascii="Arial" w:eastAsia="Times New Roman" w:hAnsi="Arial" w:cs="Arial"/>
          <w:color w:val="1F1F1F"/>
          <w:kern w:val="0"/>
          <w:bdr w:val="none" w:sz="0" w:space="0" w:color="auto" w:frame="1"/>
          <w:lang w:eastAsia="en-GB"/>
          <w14:ligatures w14:val="none"/>
        </w:rPr>
        <w:t>: In August 2024, the US National Institute of Standards and Technology (NIST) published the first finalized PQC standards (FIPS 203, 204, and 205). By late 2025, the majority of human-initiated traffic on major networks like Cloudflare was already secured using these new post-quantum algorithms.</w:t>
      </w:r>
    </w:p>
    <w:p w14:paraId="14B107D1" w14:textId="77777777" w:rsidR="00BC5F36" w:rsidRPr="00BC5F36" w:rsidRDefault="00BC5F36" w:rsidP="00BC5F36">
      <w:pPr>
        <w:numPr>
          <w:ilvl w:val="0"/>
          <w:numId w:val="3"/>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2035 Deadline</w:t>
      </w:r>
      <w:r w:rsidRPr="00BC5F36">
        <w:rPr>
          <w:rFonts w:ascii="Arial" w:eastAsia="Times New Roman" w:hAnsi="Arial" w:cs="Arial"/>
          <w:color w:val="1F1F1F"/>
          <w:kern w:val="0"/>
          <w:bdr w:val="none" w:sz="0" w:space="0" w:color="auto" w:frame="1"/>
          <w:lang w:eastAsia="en-GB"/>
          <w14:ligatures w14:val="none"/>
        </w:rPr>
        <w:t xml:space="preserve">: NIST and global security firms have set </w:t>
      </w:r>
      <w:r w:rsidRPr="00BC5F36">
        <w:rPr>
          <w:rFonts w:ascii="Arial" w:eastAsia="Times New Roman" w:hAnsi="Arial" w:cs="Arial"/>
          <w:b/>
          <w:bCs/>
          <w:color w:val="1F1F1F"/>
          <w:kern w:val="0"/>
          <w:bdr w:val="none" w:sz="0" w:space="0" w:color="auto" w:frame="1"/>
          <w:lang w:eastAsia="en-GB"/>
          <w14:ligatures w14:val="none"/>
        </w:rPr>
        <w:t>2035</w:t>
      </w:r>
      <w:r w:rsidRPr="00BC5F36">
        <w:rPr>
          <w:rFonts w:ascii="Arial" w:eastAsia="Times New Roman" w:hAnsi="Arial" w:cs="Arial"/>
          <w:color w:val="1F1F1F"/>
          <w:kern w:val="0"/>
          <w:bdr w:val="none" w:sz="0" w:space="0" w:color="auto" w:frame="1"/>
          <w:lang w:eastAsia="en-GB"/>
          <w14:ligatures w14:val="none"/>
        </w:rPr>
        <w:t xml:space="preserve"> as the hard deadline for the complete transition of all systems to PQC. By 2030, legacy algorithms relying on 112-bit security will be formally deprecated. This creates a massive compliance and infrastructure overhaul burden for the global banking, military, and telecommunications sectors over the next decade.</w:t>
      </w:r>
    </w:p>
    <w:p w14:paraId="6685A382"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2.3 Cognitive Liberty: The Battle for the Mind</w:t>
      </w:r>
    </w:p>
    <w:p w14:paraId="2FDE901D"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As hardware advances, it is increasingly interfacing directly with the human brain. The proliferation of consumer </w:t>
      </w:r>
      <w:r w:rsidRPr="00BC5F36">
        <w:rPr>
          <w:rFonts w:ascii="Arial" w:eastAsia="Times New Roman" w:hAnsi="Arial" w:cs="Arial"/>
          <w:b/>
          <w:bCs/>
          <w:color w:val="1F1F1F"/>
          <w:kern w:val="0"/>
          <w:bdr w:val="none" w:sz="0" w:space="0" w:color="auto" w:frame="1"/>
          <w:lang w:eastAsia="en-GB"/>
          <w14:ligatures w14:val="none"/>
        </w:rPr>
        <w:t>Brain-Computer Interfaces (BCIs)</w:t>
      </w:r>
      <w:r w:rsidRPr="00BC5F36">
        <w:rPr>
          <w:rFonts w:ascii="Arial" w:eastAsia="Times New Roman" w:hAnsi="Arial" w:cs="Arial"/>
          <w:color w:val="1F1F1F"/>
          <w:kern w:val="0"/>
          <w:lang w:eastAsia="en-GB"/>
          <w14:ligatures w14:val="none"/>
        </w:rPr>
        <w:t xml:space="preserve"> and wearables that track neural data has sparked a new civil rights movement focused on "Neuro-rights."</w:t>
      </w:r>
    </w:p>
    <w:p w14:paraId="084B72DE"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MIND Act of 2025</w:t>
      </w:r>
    </w:p>
    <w:p w14:paraId="51826951"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In September 2025, US Senators Schumer, Cantwell, and Markey introduced the </w:t>
      </w:r>
      <w:r w:rsidRPr="00BC5F36">
        <w:rPr>
          <w:rFonts w:ascii="Arial" w:eastAsia="Times New Roman" w:hAnsi="Arial" w:cs="Arial"/>
          <w:b/>
          <w:bCs/>
          <w:color w:val="1F1F1F"/>
          <w:kern w:val="0"/>
          <w:bdr w:val="none" w:sz="0" w:space="0" w:color="auto" w:frame="1"/>
          <w:lang w:eastAsia="en-GB"/>
          <w14:ligatures w14:val="none"/>
        </w:rPr>
        <w:t>Management of Individuals' Neural Data (MIND) Act</w:t>
      </w:r>
      <w:r w:rsidRPr="00BC5F36">
        <w:rPr>
          <w:rFonts w:ascii="Arial" w:eastAsia="Times New Roman" w:hAnsi="Arial" w:cs="Arial"/>
          <w:color w:val="1F1F1F"/>
          <w:kern w:val="0"/>
          <w:bdr w:val="none" w:sz="0" w:space="0" w:color="auto" w:frame="1"/>
          <w:lang w:eastAsia="en-GB"/>
          <w14:ligatures w14:val="none"/>
        </w:rPr>
        <w:t>. This legislation represents a legislative recognition that the brain is the final frontier of privacy.</w:t>
      </w:r>
    </w:p>
    <w:p w14:paraId="130F2AE2" w14:textId="77777777" w:rsidR="00BC5F36" w:rsidRPr="00BC5F36" w:rsidRDefault="00BC5F36" w:rsidP="00BC5F36">
      <w:pPr>
        <w:numPr>
          <w:ilvl w:val="0"/>
          <w:numId w:val="4"/>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Thought as Data</w:t>
      </w:r>
      <w:r w:rsidRPr="00BC5F36">
        <w:rPr>
          <w:rFonts w:ascii="Arial" w:eastAsia="Times New Roman" w:hAnsi="Arial" w:cs="Arial"/>
          <w:color w:val="1F1F1F"/>
          <w:kern w:val="0"/>
          <w:lang w:eastAsia="en-GB"/>
          <w14:ligatures w14:val="none"/>
        </w:rPr>
        <w:t>: The Act defines neural data as "cognitive biometric data" that can reveal intimate details of thought, emotion, and intent. Unlike a fingerprint or iris scan, which are static identifiers, neural data is dynamic and volitional—it reflects the inner self.</w:t>
      </w:r>
    </w:p>
    <w:p w14:paraId="47ECED81" w14:textId="77777777" w:rsidR="00BC5F36" w:rsidRPr="00BC5F36" w:rsidRDefault="00BC5F36" w:rsidP="00BC5F36">
      <w:pPr>
        <w:numPr>
          <w:ilvl w:val="0"/>
          <w:numId w:val="4"/>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Threat of Manipulation</w:t>
      </w:r>
      <w:r w:rsidRPr="00BC5F36">
        <w:rPr>
          <w:rFonts w:ascii="Arial" w:eastAsia="Times New Roman" w:hAnsi="Arial" w:cs="Arial"/>
          <w:color w:val="1F1F1F"/>
          <w:kern w:val="0"/>
          <w:bdr w:val="none" w:sz="0" w:space="0" w:color="auto" w:frame="1"/>
          <w:lang w:eastAsia="en-GB"/>
          <w14:ligatures w14:val="none"/>
        </w:rPr>
        <w:t xml:space="preserve">: The concern extends beyond privacy to </w:t>
      </w:r>
      <w:r w:rsidRPr="00BC5F36">
        <w:rPr>
          <w:rFonts w:ascii="Arial" w:eastAsia="Times New Roman" w:hAnsi="Arial" w:cs="Arial"/>
          <w:b/>
          <w:bCs/>
          <w:color w:val="1F1F1F"/>
          <w:kern w:val="0"/>
          <w:bdr w:val="none" w:sz="0" w:space="0" w:color="auto" w:frame="1"/>
          <w:lang w:eastAsia="en-GB"/>
          <w14:ligatures w14:val="none"/>
        </w:rPr>
        <w:t>"Cognitive Manipulation."</w:t>
      </w:r>
      <w:r w:rsidRPr="00BC5F36">
        <w:rPr>
          <w:rFonts w:ascii="Arial" w:eastAsia="Times New Roman" w:hAnsi="Arial" w:cs="Arial"/>
          <w:color w:val="1F1F1F"/>
          <w:kern w:val="0"/>
          <w:bdr w:val="none" w:sz="0" w:space="0" w:color="auto" w:frame="1"/>
          <w:lang w:eastAsia="en-GB"/>
          <w14:ligatures w14:val="none"/>
        </w:rPr>
        <w:t xml:space="preserve"> The vertical integration of neurotech and AI could allow companies to not only read mental states but potentially </w:t>
      </w:r>
      <w:r w:rsidRPr="00BC5F36">
        <w:rPr>
          <w:rFonts w:ascii="Arial" w:eastAsia="Times New Roman" w:hAnsi="Arial" w:cs="Arial"/>
          <w:i/>
          <w:iCs/>
          <w:color w:val="1F1F1F"/>
          <w:kern w:val="0"/>
          <w:bdr w:val="none" w:sz="0" w:space="0" w:color="auto" w:frame="1"/>
          <w:lang w:eastAsia="en-GB"/>
          <w14:ligatures w14:val="none"/>
        </w:rPr>
        <w:t>influence</w:t>
      </w:r>
      <w:r w:rsidRPr="00BC5F36">
        <w:rPr>
          <w:rFonts w:ascii="Arial" w:eastAsia="Times New Roman" w:hAnsi="Arial" w:cs="Arial"/>
          <w:color w:val="1F1F1F"/>
          <w:kern w:val="0"/>
          <w:bdr w:val="none" w:sz="0" w:space="0" w:color="auto" w:frame="1"/>
          <w:lang w:eastAsia="en-GB"/>
          <w14:ligatures w14:val="none"/>
        </w:rPr>
        <w:t xml:space="preserve"> them through targeted feedback loops or stimulation. For example, an employer could monitor an employee's focus levels in real-time, or an advertiser could gauge the visceral emotional reaction to a product before the consumer is even consciously aware of it.</w:t>
      </w:r>
    </w:p>
    <w:p w14:paraId="676039B0" w14:textId="77777777" w:rsidR="00BC5F36" w:rsidRPr="00BC5F36" w:rsidRDefault="00BC5F36" w:rsidP="00BC5F36">
      <w:pPr>
        <w:numPr>
          <w:ilvl w:val="0"/>
          <w:numId w:val="4"/>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Global Movement</w:t>
      </w:r>
      <w:r w:rsidRPr="00BC5F36">
        <w:rPr>
          <w:rFonts w:ascii="Arial" w:eastAsia="Times New Roman" w:hAnsi="Arial" w:cs="Arial"/>
          <w:color w:val="1F1F1F"/>
          <w:kern w:val="0"/>
          <w:bdr w:val="none" w:sz="0" w:space="0" w:color="auto" w:frame="1"/>
          <w:lang w:eastAsia="en-GB"/>
          <w14:ligatures w14:val="none"/>
        </w:rPr>
        <w:t>: The US legislation mirrors similar actions globally, such as in Chile, which amended its constitution to explicitly protect neuro-rights. This signals that the legal definition of "human rights" is expanding to include the right to mental integrity and insulation from algorithmic interference.</w:t>
      </w:r>
    </w:p>
    <w:p w14:paraId="71920E3E"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2.4 Algorithmic Governance: The Structural Threat to Democracy</w:t>
      </w:r>
    </w:p>
    <w:p w14:paraId="0B3963A7"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While society worries about future mind-reading technologies, current algorithms are already reshaping political reality. A landmark study published in </w:t>
      </w:r>
      <w:r w:rsidRPr="00BC5F36">
        <w:rPr>
          <w:rFonts w:ascii="Arial" w:eastAsia="Times New Roman" w:hAnsi="Arial" w:cs="Arial"/>
          <w:i/>
          <w:iCs/>
          <w:color w:val="1F1F1F"/>
          <w:kern w:val="0"/>
          <w:bdr w:val="none" w:sz="0" w:space="0" w:color="auto" w:frame="1"/>
          <w:lang w:eastAsia="en-GB"/>
          <w14:ligatures w14:val="none"/>
        </w:rPr>
        <w:t>Science</w:t>
      </w:r>
      <w:r w:rsidRPr="00BC5F36">
        <w:rPr>
          <w:rFonts w:ascii="Arial" w:eastAsia="Times New Roman" w:hAnsi="Arial" w:cs="Arial"/>
          <w:color w:val="1F1F1F"/>
          <w:kern w:val="0"/>
          <w:bdr w:val="none" w:sz="0" w:space="0" w:color="auto" w:frame="1"/>
          <w:lang w:eastAsia="en-GB"/>
          <w14:ligatures w14:val="none"/>
        </w:rPr>
        <w:t xml:space="preserve"> in November 2025 provided the first causal evidence that social media platform architecture—specifically ranking algorithms—directly drives political polarization.</w:t>
      </w:r>
    </w:p>
    <w:p w14:paraId="33B0AC33" w14:textId="77777777" w:rsidR="00BC5F36" w:rsidRPr="00BC5F36" w:rsidRDefault="00BC5F36" w:rsidP="00BC5F36">
      <w:pPr>
        <w:numPr>
          <w:ilvl w:val="0"/>
          <w:numId w:val="5"/>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Mechanism</w:t>
      </w:r>
      <w:r w:rsidRPr="00BC5F36">
        <w:rPr>
          <w:rFonts w:ascii="Arial" w:eastAsia="Times New Roman" w:hAnsi="Arial" w:cs="Arial"/>
          <w:color w:val="1F1F1F"/>
          <w:kern w:val="0"/>
          <w:bdr w:val="none" w:sz="0" w:space="0" w:color="auto" w:frame="1"/>
          <w:lang w:eastAsia="en-GB"/>
          <w14:ligatures w14:val="none"/>
        </w:rPr>
        <w:t xml:space="preserve">: The study utilized a browser extension to re-rank users' feeds on X (formerly Twitter) in real-time. It found that reducing exposure to "antidemocratic and partisan animosity" (AAPA) content cooled political </w:t>
      </w:r>
      <w:r w:rsidRPr="00BC5F36">
        <w:rPr>
          <w:rFonts w:ascii="Arial" w:eastAsia="Times New Roman" w:hAnsi="Arial" w:cs="Arial"/>
          <w:color w:val="1F1F1F"/>
          <w:kern w:val="0"/>
          <w:bdr w:val="none" w:sz="0" w:space="0" w:color="auto" w:frame="1"/>
          <w:lang w:eastAsia="en-GB"/>
          <w14:ligatures w14:val="none"/>
        </w:rPr>
        <w:lastRenderedPageBreak/>
        <w:t xml:space="preserve">hostility by approximately 2.5 degrees on a 100-point scale. While this shift appears small, the researchers noted that it is equivalent to </w:t>
      </w:r>
      <w:r w:rsidRPr="00BC5F36">
        <w:rPr>
          <w:rFonts w:ascii="Arial" w:eastAsia="Times New Roman" w:hAnsi="Arial" w:cs="Arial"/>
          <w:i/>
          <w:iCs/>
          <w:color w:val="1F1F1F"/>
          <w:kern w:val="0"/>
          <w:bdr w:val="none" w:sz="0" w:space="0" w:color="auto" w:frame="1"/>
          <w:lang w:eastAsia="en-GB"/>
          <w14:ligatures w14:val="none"/>
        </w:rPr>
        <w:t>years</w:t>
      </w:r>
      <w:r w:rsidRPr="00BC5F36">
        <w:rPr>
          <w:rFonts w:ascii="Arial" w:eastAsia="Times New Roman" w:hAnsi="Arial" w:cs="Arial"/>
          <w:color w:val="1F1F1F"/>
          <w:kern w:val="0"/>
          <w:bdr w:val="none" w:sz="0" w:space="0" w:color="auto" w:frame="1"/>
          <w:lang w:eastAsia="en-GB"/>
          <w14:ligatures w14:val="none"/>
        </w:rPr>
        <w:t xml:space="preserve"> of natural polarization drift.</w:t>
      </w:r>
    </w:p>
    <w:p w14:paraId="1BCAF2A7" w14:textId="77777777" w:rsidR="00BC5F36" w:rsidRPr="00BC5F36" w:rsidRDefault="00BC5F36" w:rsidP="00BC5F36">
      <w:pPr>
        <w:numPr>
          <w:ilvl w:val="0"/>
          <w:numId w:val="5"/>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Policy Failure</w:t>
      </w:r>
      <w:r w:rsidRPr="00BC5F36">
        <w:rPr>
          <w:rFonts w:ascii="Arial" w:eastAsia="Times New Roman" w:hAnsi="Arial" w:cs="Arial"/>
          <w:color w:val="1F1F1F"/>
          <w:kern w:val="0"/>
          <w:bdr w:val="none" w:sz="0" w:space="0" w:color="auto" w:frame="1"/>
          <w:lang w:eastAsia="en-GB"/>
          <w14:ligatures w14:val="none"/>
        </w:rPr>
        <w:t xml:space="preserve">: Despite this evidence, policy responses remain largely focused on "content moderation" (removing specific bad posts) or "foreign interference" (labeling state media). These approaches fail to address the </w:t>
      </w:r>
      <w:r w:rsidRPr="00BC5F36">
        <w:rPr>
          <w:rFonts w:ascii="Arial" w:eastAsia="Times New Roman" w:hAnsi="Arial" w:cs="Arial"/>
          <w:b/>
          <w:bCs/>
          <w:color w:val="1F1F1F"/>
          <w:kern w:val="0"/>
          <w:bdr w:val="none" w:sz="0" w:space="0" w:color="auto" w:frame="1"/>
          <w:lang w:eastAsia="en-GB"/>
          <w14:ligatures w14:val="none"/>
        </w:rPr>
        <w:t>amplification architecture</w:t>
      </w:r>
      <w:r w:rsidRPr="00BC5F36">
        <w:rPr>
          <w:rFonts w:ascii="Arial" w:eastAsia="Times New Roman" w:hAnsi="Arial" w:cs="Arial"/>
          <w:color w:val="1F1F1F"/>
          <w:kern w:val="0"/>
          <w:bdr w:val="none" w:sz="0" w:space="0" w:color="auto" w:frame="1"/>
          <w:lang w:eastAsia="en-GB"/>
          <w14:ligatures w14:val="none"/>
        </w:rPr>
        <w:t xml:space="preserve"> itself—the core engine that rewards outrage with reach. The 2025–2026 period is seeing a growing recognition among researchers and civil society that "freedom of speech" does not imply "freedom of reach," and that algorithmic transparency is a prerequisite for democratic stability.</w:t>
      </w:r>
    </w:p>
    <w:p w14:paraId="53CBA724" w14:textId="77777777" w:rsidR="00BC5F36" w:rsidRPr="00BC5F36" w:rsidRDefault="00F04769" w:rsidP="00BC5F36">
      <w:pPr>
        <w:spacing w:after="120"/>
        <w:rPr>
          <w:rFonts w:ascii="Arial" w:eastAsia="Times New Roman" w:hAnsi="Arial" w:cs="Arial"/>
          <w:kern w:val="0"/>
          <w:lang w:eastAsia="en-GB"/>
          <w14:ligatures w14:val="none"/>
        </w:rPr>
      </w:pPr>
      <w:r w:rsidRPr="00F04769">
        <w:rPr>
          <w:rFonts w:ascii="Times New Roman" w:eastAsia="Times New Roman" w:hAnsi="Times New Roman" w:cs="Times New Roman"/>
          <w:noProof/>
          <w:kern w:val="0"/>
          <w:lang w:eastAsia="en-GB"/>
        </w:rPr>
        <w:pict w14:anchorId="0CDDF86F">
          <v:rect id="_x0000_i1028" alt="" style="width:451.3pt;height:.05pt;mso-width-percent:0;mso-height-percent:0;mso-width-percent:0;mso-height-percent:0" o:hralign="center" o:hrstd="t" o:hrnoshade="t" o:hr="t" fillcolor="gray" stroked="f"/>
        </w:pict>
      </w:r>
    </w:p>
    <w:p w14:paraId="46D7EBF1" w14:textId="77777777" w:rsidR="00BC5F36" w:rsidRPr="00BC5F36" w:rsidRDefault="00BC5F36" w:rsidP="00BC5F36">
      <w:pPr>
        <w:spacing w:after="120"/>
        <w:outlineLvl w:val="1"/>
        <w:rPr>
          <w:rFonts w:ascii="Arial" w:eastAsia="Times New Roman" w:hAnsi="Arial" w:cs="Arial"/>
          <w:b/>
          <w:bCs/>
          <w:color w:val="1F1F1F"/>
          <w:kern w:val="0"/>
          <w:sz w:val="36"/>
          <w:szCs w:val="36"/>
          <w:lang w:eastAsia="en-GB"/>
          <w14:ligatures w14:val="none"/>
        </w:rPr>
      </w:pPr>
      <w:r w:rsidRPr="00BC5F36">
        <w:rPr>
          <w:rFonts w:ascii="Arial" w:eastAsia="Times New Roman" w:hAnsi="Arial" w:cs="Arial"/>
          <w:b/>
          <w:bCs/>
          <w:color w:val="1F1F1F"/>
          <w:kern w:val="0"/>
          <w:sz w:val="36"/>
          <w:szCs w:val="36"/>
          <w:lang w:eastAsia="en-GB"/>
          <w14:ligatures w14:val="none"/>
        </w:rPr>
        <w:t>3. Planetary Engineering &amp; Resource Wars: The Climate Shift</w:t>
      </w:r>
    </w:p>
    <w:p w14:paraId="64834A8D"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The energy transition has entered a new phase. It is no longer just about deploying renewables; it is about securing </w:t>
      </w:r>
      <w:r w:rsidRPr="00BC5F36">
        <w:rPr>
          <w:rFonts w:ascii="Arial" w:eastAsia="Times New Roman" w:hAnsi="Arial" w:cs="Arial"/>
          <w:b/>
          <w:bCs/>
          <w:color w:val="1F1F1F"/>
          <w:kern w:val="0"/>
          <w:bdr w:val="none" w:sz="0" w:space="0" w:color="auto" w:frame="1"/>
          <w:lang w:eastAsia="en-GB"/>
          <w14:ligatures w14:val="none"/>
        </w:rPr>
        <w:t>firm, dense power</w:t>
      </w:r>
      <w:r w:rsidRPr="00BC5F36">
        <w:rPr>
          <w:rFonts w:ascii="Arial" w:eastAsia="Times New Roman" w:hAnsi="Arial" w:cs="Arial"/>
          <w:color w:val="1F1F1F"/>
          <w:kern w:val="0"/>
          <w:lang w:eastAsia="en-GB"/>
          <w14:ligatures w14:val="none"/>
        </w:rPr>
        <w:t xml:space="preserve"> to support the AI transition and engaging in </w:t>
      </w:r>
      <w:r w:rsidRPr="00BC5F36">
        <w:rPr>
          <w:rFonts w:ascii="Arial" w:eastAsia="Times New Roman" w:hAnsi="Arial" w:cs="Arial"/>
          <w:b/>
          <w:bCs/>
          <w:color w:val="1F1F1F"/>
          <w:kern w:val="0"/>
          <w:bdr w:val="none" w:sz="0" w:space="0" w:color="auto" w:frame="1"/>
          <w:lang w:eastAsia="en-GB"/>
          <w14:ligatures w14:val="none"/>
        </w:rPr>
        <w:t>active planetary management</w:t>
      </w:r>
      <w:r w:rsidRPr="00BC5F36">
        <w:rPr>
          <w:rFonts w:ascii="Arial" w:eastAsia="Times New Roman" w:hAnsi="Arial" w:cs="Arial"/>
          <w:color w:val="1F1F1F"/>
          <w:kern w:val="0"/>
          <w:lang w:eastAsia="en-GB"/>
          <w14:ligatures w14:val="none"/>
        </w:rPr>
        <w:t xml:space="preserve"> to stave off climate tipping points.</w:t>
      </w:r>
    </w:p>
    <w:p w14:paraId="1BCFE070"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3.1 The Nuclear Renaissance: SMRs and Fusion</w:t>
      </w:r>
    </w:p>
    <w:p w14:paraId="10E1DAAB"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The symbiotic relationship between Big Tech and nuclear energy has become the primary driver of the sector's resurgence. Tech giants need massive amounts of clean, 24/7 baseload power to run their data centers, and wind and solar are too intermittent to meet this need without prohibitively expensive battery storage.</w:t>
      </w:r>
    </w:p>
    <w:p w14:paraId="438E8B84"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Fusion Breakthrough</w:t>
      </w:r>
    </w:p>
    <w:p w14:paraId="4E8B2609"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The most striking development is the commercialization of fusion energy. </w:t>
      </w:r>
      <w:r w:rsidRPr="00BC5F36">
        <w:rPr>
          <w:rFonts w:ascii="Arial" w:eastAsia="Times New Roman" w:hAnsi="Arial" w:cs="Arial"/>
          <w:b/>
          <w:bCs/>
          <w:color w:val="1F1F1F"/>
          <w:kern w:val="0"/>
          <w:bdr w:val="none" w:sz="0" w:space="0" w:color="auto" w:frame="1"/>
          <w:lang w:eastAsia="en-GB"/>
          <w14:ligatures w14:val="none"/>
        </w:rPr>
        <w:t>Helion Energy</w:t>
      </w:r>
      <w:r w:rsidRPr="00BC5F36">
        <w:rPr>
          <w:rFonts w:ascii="Arial" w:eastAsia="Times New Roman" w:hAnsi="Arial" w:cs="Arial"/>
          <w:color w:val="1F1F1F"/>
          <w:kern w:val="0"/>
          <w:bdr w:val="none" w:sz="0" w:space="0" w:color="auto" w:frame="1"/>
          <w:lang w:eastAsia="en-GB"/>
          <w14:ligatures w14:val="none"/>
        </w:rPr>
        <w:t xml:space="preserve">, backed by OpenAI CEO Sam Altman and Microsoft, has commenced construction of its </w:t>
      </w:r>
      <w:r w:rsidRPr="00BC5F36">
        <w:rPr>
          <w:rFonts w:ascii="Arial" w:eastAsia="Times New Roman" w:hAnsi="Arial" w:cs="Arial"/>
          <w:b/>
          <w:bCs/>
          <w:color w:val="1F1F1F"/>
          <w:kern w:val="0"/>
          <w:bdr w:val="none" w:sz="0" w:space="0" w:color="auto" w:frame="1"/>
          <w:lang w:eastAsia="en-GB"/>
          <w14:ligatures w14:val="none"/>
        </w:rPr>
        <w:t>Orion plant</w:t>
      </w:r>
      <w:r w:rsidRPr="00BC5F36">
        <w:rPr>
          <w:rFonts w:ascii="Arial" w:eastAsia="Times New Roman" w:hAnsi="Arial" w:cs="Arial"/>
          <w:color w:val="1F1F1F"/>
          <w:kern w:val="0"/>
          <w:bdr w:val="none" w:sz="0" w:space="0" w:color="auto" w:frame="1"/>
          <w:lang w:eastAsia="en-GB"/>
          <w14:ligatures w14:val="none"/>
        </w:rPr>
        <w:t xml:space="preserve"> in Washington State. Helion has a contractual obligation to supply electricity to Microsoft by </w:t>
      </w:r>
      <w:r w:rsidRPr="00BC5F36">
        <w:rPr>
          <w:rFonts w:ascii="Arial" w:eastAsia="Times New Roman" w:hAnsi="Arial" w:cs="Arial"/>
          <w:b/>
          <w:bCs/>
          <w:color w:val="1F1F1F"/>
          <w:kern w:val="0"/>
          <w:bdr w:val="none" w:sz="0" w:space="0" w:color="auto" w:frame="1"/>
          <w:lang w:eastAsia="en-GB"/>
          <w14:ligatures w14:val="none"/>
        </w:rPr>
        <w:t>2028</w:t>
      </w:r>
      <w:r w:rsidRPr="00BC5F36">
        <w:rPr>
          <w:rFonts w:ascii="Arial" w:eastAsia="Times New Roman" w:hAnsi="Arial" w:cs="Arial"/>
          <w:color w:val="1F1F1F"/>
          <w:kern w:val="0"/>
          <w:bdr w:val="none" w:sz="0" w:space="0" w:color="auto" w:frame="1"/>
          <w:lang w:eastAsia="en-GB"/>
          <w14:ligatures w14:val="none"/>
        </w:rPr>
        <w:t>.</w:t>
      </w:r>
    </w:p>
    <w:p w14:paraId="4B3F145D" w14:textId="77777777" w:rsidR="00BC5F36" w:rsidRPr="00BC5F36" w:rsidRDefault="00BC5F36" w:rsidP="00BC5F36">
      <w:pPr>
        <w:numPr>
          <w:ilvl w:val="0"/>
          <w:numId w:val="6"/>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Market Validation</w:t>
      </w:r>
      <w:r w:rsidRPr="00BC5F36">
        <w:rPr>
          <w:rFonts w:ascii="Arial" w:eastAsia="Times New Roman" w:hAnsi="Arial" w:cs="Arial"/>
          <w:color w:val="1F1F1F"/>
          <w:kern w:val="0"/>
          <w:lang w:eastAsia="en-GB"/>
          <w14:ligatures w14:val="none"/>
        </w:rPr>
        <w:t>: This agreement is the world's first fusion Power Purchase Agreement (PPA). If successful, it validates a technology that has jokingly been "30 years away" for the last 50 years.</w:t>
      </w:r>
    </w:p>
    <w:p w14:paraId="4DFD1F9B" w14:textId="77777777" w:rsidR="00BC5F36" w:rsidRPr="00BC5F36" w:rsidRDefault="00BC5F36" w:rsidP="00BC5F36">
      <w:pPr>
        <w:numPr>
          <w:ilvl w:val="0"/>
          <w:numId w:val="6"/>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Google's Bet</w:t>
      </w:r>
      <w:r w:rsidRPr="00BC5F36">
        <w:rPr>
          <w:rFonts w:ascii="Arial" w:eastAsia="Times New Roman" w:hAnsi="Arial" w:cs="Arial"/>
          <w:color w:val="1F1F1F"/>
          <w:kern w:val="0"/>
          <w:bdr w:val="none" w:sz="0" w:space="0" w:color="auto" w:frame="1"/>
          <w:lang w:eastAsia="en-GB"/>
          <w14:ligatures w14:val="none"/>
        </w:rPr>
        <w:t xml:space="preserve">: Following suit, Google has signed a 200 MW PPA with </w:t>
      </w:r>
      <w:r w:rsidRPr="00BC5F36">
        <w:rPr>
          <w:rFonts w:ascii="Arial" w:eastAsia="Times New Roman" w:hAnsi="Arial" w:cs="Arial"/>
          <w:b/>
          <w:bCs/>
          <w:color w:val="1F1F1F"/>
          <w:kern w:val="0"/>
          <w:bdr w:val="none" w:sz="0" w:space="0" w:color="auto" w:frame="1"/>
          <w:lang w:eastAsia="en-GB"/>
          <w14:ligatures w14:val="none"/>
        </w:rPr>
        <w:t>Commonwealth Fusion Systems (CFS)</w:t>
      </w:r>
      <w:r w:rsidRPr="00BC5F36">
        <w:rPr>
          <w:rFonts w:ascii="Arial" w:eastAsia="Times New Roman" w:hAnsi="Arial" w:cs="Arial"/>
          <w:color w:val="1F1F1F"/>
          <w:kern w:val="0"/>
          <w:bdr w:val="none" w:sz="0" w:space="0" w:color="auto" w:frame="1"/>
          <w:lang w:eastAsia="en-GB"/>
          <w14:ligatures w14:val="none"/>
        </w:rPr>
        <w:t xml:space="preserve"> for delivery in the early 2030s. These deals signify that the world's most capital-rich companies are betting their future infrastructure on fusion becoming a reality within the decade.</w:t>
      </w:r>
    </w:p>
    <w:p w14:paraId="02B265C3"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Small Modular Reactors (SMRs)</w:t>
      </w:r>
    </w:p>
    <w:p w14:paraId="10F6A543"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While fusion remains a "moonshot," Small Modular Reactors (SMRs) are the immediate industrial solution. The market for SMRs is projected to exceed </w:t>
      </w:r>
      <w:r w:rsidRPr="00BC5F36">
        <w:rPr>
          <w:rFonts w:ascii="Arial" w:eastAsia="Times New Roman" w:hAnsi="Arial" w:cs="Arial"/>
          <w:b/>
          <w:bCs/>
          <w:color w:val="1F1F1F"/>
          <w:kern w:val="0"/>
          <w:bdr w:val="none" w:sz="0" w:space="0" w:color="auto" w:frame="1"/>
          <w:lang w:eastAsia="en-GB"/>
          <w14:ligatures w14:val="none"/>
        </w:rPr>
        <w:t>$15 trillion by 2060</w:t>
      </w:r>
      <w:r w:rsidRPr="00BC5F36">
        <w:rPr>
          <w:rFonts w:ascii="Arial" w:eastAsia="Times New Roman" w:hAnsi="Arial" w:cs="Arial"/>
          <w:color w:val="1F1F1F"/>
          <w:kern w:val="0"/>
          <w:bdr w:val="none" w:sz="0" w:space="0" w:color="auto" w:frame="1"/>
          <w:lang w:eastAsia="en-GB"/>
          <w14:ligatures w14:val="none"/>
        </w:rPr>
        <w:t>.</w:t>
      </w:r>
    </w:p>
    <w:p w14:paraId="612EB064" w14:textId="77777777" w:rsidR="00BC5F36" w:rsidRPr="00BC5F36" w:rsidRDefault="00BC5F36" w:rsidP="00BC5F36">
      <w:pPr>
        <w:numPr>
          <w:ilvl w:val="0"/>
          <w:numId w:val="7"/>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Commercial Rollout</w:t>
      </w:r>
      <w:r w:rsidRPr="00BC5F36">
        <w:rPr>
          <w:rFonts w:ascii="Arial" w:eastAsia="Times New Roman" w:hAnsi="Arial" w:cs="Arial"/>
          <w:color w:val="1F1F1F"/>
          <w:kern w:val="0"/>
          <w:bdr w:val="none" w:sz="0" w:space="0" w:color="auto" w:frame="1"/>
          <w:lang w:eastAsia="en-GB"/>
          <w14:ligatures w14:val="none"/>
        </w:rPr>
        <w:t xml:space="preserve">: Multiple designs are approaching commercial deployment between 2025 and 2030. China’s </w:t>
      </w:r>
      <w:r w:rsidRPr="00BC5F36">
        <w:rPr>
          <w:rFonts w:ascii="Arial" w:eastAsia="Times New Roman" w:hAnsi="Arial" w:cs="Arial"/>
          <w:b/>
          <w:bCs/>
          <w:color w:val="1F1F1F"/>
          <w:kern w:val="0"/>
          <w:bdr w:val="none" w:sz="0" w:space="0" w:color="auto" w:frame="1"/>
          <w:lang w:eastAsia="en-GB"/>
          <w14:ligatures w14:val="none"/>
        </w:rPr>
        <w:t>ACP100</w:t>
      </w:r>
      <w:r w:rsidRPr="00BC5F36">
        <w:rPr>
          <w:rFonts w:ascii="Arial" w:eastAsia="Times New Roman" w:hAnsi="Arial" w:cs="Arial"/>
          <w:color w:val="1F1F1F"/>
          <w:kern w:val="0"/>
          <w:bdr w:val="none" w:sz="0" w:space="0" w:color="auto" w:frame="1"/>
          <w:lang w:eastAsia="en-GB"/>
          <w14:ligatures w14:val="none"/>
        </w:rPr>
        <w:t xml:space="preserve"> is expected to start commercial operation by 2026, putting it at the forefront of the race.</w:t>
      </w:r>
    </w:p>
    <w:p w14:paraId="5731CDE2" w14:textId="77777777" w:rsidR="00BC5F36" w:rsidRPr="00BC5F36" w:rsidRDefault="00BC5F36" w:rsidP="00BC5F36">
      <w:pPr>
        <w:numPr>
          <w:ilvl w:val="0"/>
          <w:numId w:val="7"/>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Tech-Nuclear Nexus</w:t>
      </w:r>
      <w:r w:rsidRPr="00BC5F36">
        <w:rPr>
          <w:rFonts w:ascii="Arial" w:eastAsia="Times New Roman" w:hAnsi="Arial" w:cs="Arial"/>
          <w:color w:val="1F1F1F"/>
          <w:kern w:val="0"/>
          <w:bdr w:val="none" w:sz="0" w:space="0" w:color="auto" w:frame="1"/>
          <w:lang w:eastAsia="en-GB"/>
          <w14:ligatures w14:val="none"/>
        </w:rPr>
        <w:t>: Amazon and Oracle are also investing heavily in SMRs to power their cloud infrastructure. This trend is creating "behind-the-meter" nuclear grids—private energy networks that are independent of public utility constraints and grid congestion.</w:t>
      </w:r>
    </w:p>
    <w:p w14:paraId="2CB443F9"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3.2 Geoengineering: The Unilateral Wildcard</w:t>
      </w:r>
    </w:p>
    <w:p w14:paraId="1AA07E60"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lastRenderedPageBreak/>
        <w:t xml:space="preserve">As global temperature targets are consistently missed, the taboo on </w:t>
      </w:r>
      <w:r w:rsidRPr="00BC5F36">
        <w:rPr>
          <w:rFonts w:ascii="Arial" w:eastAsia="Times New Roman" w:hAnsi="Arial" w:cs="Arial"/>
          <w:b/>
          <w:bCs/>
          <w:color w:val="1F1F1F"/>
          <w:kern w:val="0"/>
          <w:bdr w:val="none" w:sz="0" w:space="0" w:color="auto" w:frame="1"/>
          <w:lang w:eastAsia="en-GB"/>
          <w14:ligatures w14:val="none"/>
        </w:rPr>
        <w:t>Solar Radiation Modification (SRM)</w:t>
      </w:r>
      <w:r w:rsidRPr="00BC5F36">
        <w:rPr>
          <w:rFonts w:ascii="Arial" w:eastAsia="Times New Roman" w:hAnsi="Arial" w:cs="Arial"/>
          <w:color w:val="1F1F1F"/>
          <w:kern w:val="0"/>
          <w:lang w:eastAsia="en-GB"/>
          <w14:ligatures w14:val="none"/>
        </w:rPr>
        <w:t xml:space="preserve"> is breaking. 2025 saw the rise of unilateral, unregulated geoengineering efforts, exposing a dangerous gap in global governance.</w:t>
      </w:r>
    </w:p>
    <w:p w14:paraId="1A1CF754" w14:textId="77777777" w:rsidR="00BC5F36" w:rsidRPr="00BC5F36" w:rsidRDefault="00BC5F36" w:rsidP="00BC5F36">
      <w:pPr>
        <w:spacing w:after="120"/>
        <w:outlineLvl w:val="3"/>
        <w:rPr>
          <w:rFonts w:ascii="Arial" w:eastAsia="Times New Roman" w:hAnsi="Arial" w:cs="Arial"/>
          <w:b/>
          <w:bCs/>
          <w:color w:val="1F1F1F"/>
          <w:kern w:val="0"/>
          <w:lang w:eastAsia="en-GB"/>
          <w14:ligatures w14:val="none"/>
        </w:rPr>
      </w:pPr>
      <w:r w:rsidRPr="00BC5F36">
        <w:rPr>
          <w:rFonts w:ascii="Arial" w:eastAsia="Times New Roman" w:hAnsi="Arial" w:cs="Arial"/>
          <w:b/>
          <w:bCs/>
          <w:color w:val="1F1F1F"/>
          <w:kern w:val="0"/>
          <w:lang w:eastAsia="en-GB"/>
          <w14:ligatures w14:val="none"/>
        </w:rPr>
        <w:t>The "Make Sunsets" Controversy</w:t>
      </w:r>
    </w:p>
    <w:p w14:paraId="64490BCF"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A startup named </w:t>
      </w:r>
      <w:r w:rsidRPr="00BC5F36">
        <w:rPr>
          <w:rFonts w:ascii="Arial" w:eastAsia="Times New Roman" w:hAnsi="Arial" w:cs="Arial"/>
          <w:b/>
          <w:bCs/>
          <w:color w:val="1F1F1F"/>
          <w:kern w:val="0"/>
          <w:bdr w:val="none" w:sz="0" w:space="0" w:color="auto" w:frame="1"/>
          <w:lang w:eastAsia="en-GB"/>
          <w14:ligatures w14:val="none"/>
        </w:rPr>
        <w:t>Make Sunsets</w:t>
      </w:r>
      <w:r w:rsidRPr="00BC5F36">
        <w:rPr>
          <w:rFonts w:ascii="Arial" w:eastAsia="Times New Roman" w:hAnsi="Arial" w:cs="Arial"/>
          <w:color w:val="1F1F1F"/>
          <w:kern w:val="0"/>
          <w:bdr w:val="none" w:sz="0" w:space="0" w:color="auto" w:frame="1"/>
          <w:lang w:eastAsia="en-GB"/>
          <w14:ligatures w14:val="none"/>
        </w:rPr>
        <w:t xml:space="preserve"> began releasing sulfur dioxide-filled balloons to sell "cooling credits," conducting releases in the US and Mexico. While the actual amount of SO2 released was negligible (0.1 tons), the precedent is alarming. It demonstrated that a small, private actor could unilaterally attempt to alter the planet's atmosphere.</w:t>
      </w:r>
    </w:p>
    <w:p w14:paraId="6156EA2D" w14:textId="77777777" w:rsidR="00BC5F36" w:rsidRPr="00BC5F36" w:rsidRDefault="00BC5F36" w:rsidP="00BC5F36">
      <w:pPr>
        <w:numPr>
          <w:ilvl w:val="0"/>
          <w:numId w:val="8"/>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Governance Vacuum</w:t>
      </w:r>
      <w:r w:rsidRPr="00BC5F36">
        <w:rPr>
          <w:rFonts w:ascii="Arial" w:eastAsia="Times New Roman" w:hAnsi="Arial" w:cs="Arial"/>
          <w:color w:val="1F1F1F"/>
          <w:kern w:val="0"/>
          <w:bdr w:val="none" w:sz="0" w:space="0" w:color="auto" w:frame="1"/>
          <w:lang w:eastAsia="en-GB"/>
          <w14:ligatures w14:val="none"/>
        </w:rPr>
        <w:t>: The US Environmental Protection Agency (EPA) scrambled to find legal authority to halt these activities, highlighting a massive gap in international law. There is currently no robust treaty preventing a single actor—be it a rogue startup, a billionaire, or a desperate island nation facing sea-level rise—from initiating a planetary cooling program.</w:t>
      </w:r>
    </w:p>
    <w:p w14:paraId="5E62A25A" w14:textId="77777777" w:rsidR="00BC5F36" w:rsidRPr="00BC5F36" w:rsidRDefault="00BC5F36" w:rsidP="00BC5F36">
      <w:pPr>
        <w:numPr>
          <w:ilvl w:val="0"/>
          <w:numId w:val="8"/>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Slippery Slope</w:t>
      </w:r>
      <w:r w:rsidRPr="00BC5F36">
        <w:rPr>
          <w:rFonts w:ascii="Arial" w:eastAsia="Times New Roman" w:hAnsi="Arial" w:cs="Arial"/>
          <w:color w:val="1F1F1F"/>
          <w:kern w:val="0"/>
          <w:bdr w:val="none" w:sz="0" w:space="0" w:color="auto" w:frame="1"/>
          <w:lang w:eastAsia="en-GB"/>
          <w14:ligatures w14:val="none"/>
        </w:rPr>
        <w:t xml:space="preserve">: Reports from late 2025 indicate that other startups, such as </w:t>
      </w:r>
      <w:r w:rsidRPr="00BC5F36">
        <w:rPr>
          <w:rFonts w:ascii="Arial" w:eastAsia="Times New Roman" w:hAnsi="Arial" w:cs="Arial"/>
          <w:b/>
          <w:bCs/>
          <w:color w:val="1F1F1F"/>
          <w:kern w:val="0"/>
          <w:bdr w:val="none" w:sz="0" w:space="0" w:color="auto" w:frame="1"/>
          <w:lang w:eastAsia="en-GB"/>
          <w14:ligatures w14:val="none"/>
        </w:rPr>
        <w:t>Stardust Solutions</w:t>
      </w:r>
      <w:r w:rsidRPr="00BC5F36">
        <w:rPr>
          <w:rFonts w:ascii="Arial" w:eastAsia="Times New Roman" w:hAnsi="Arial" w:cs="Arial"/>
          <w:color w:val="1F1F1F"/>
          <w:kern w:val="0"/>
          <w:bdr w:val="none" w:sz="0" w:space="0" w:color="auto" w:frame="1"/>
          <w:lang w:eastAsia="en-GB"/>
          <w14:ligatures w14:val="none"/>
        </w:rPr>
        <w:t>, plan to conduct outdoor experiments by April 2026. The normalization of Stratospheric Aerosol Injection (SAI) poses immense risks, including the potential disruption of global monsoon patterns and the threat of "termination shock"—a catastrophic rapid warming that would occur if the cooling particles were suddenly stopped.</w:t>
      </w:r>
    </w:p>
    <w:p w14:paraId="08FB4704"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3.3 The Blue Economy: The Deep Sea Gold Rush</w:t>
      </w:r>
    </w:p>
    <w:p w14:paraId="2AE022A5" w14:textId="77777777" w:rsidR="00BC5F36" w:rsidRPr="00BC5F36" w:rsidRDefault="00BC5F36" w:rsidP="00BC5F36">
      <w:pPr>
        <w:spacing w:after="12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The search for critical minerals—cobalt, nickel, and manganese—essential for the EV and battery revolution has turned the ocean floor into a geopolitical flashpoint.</w:t>
      </w:r>
    </w:p>
    <w:p w14:paraId="739DE4A3" w14:textId="77777777" w:rsidR="00BC5F36" w:rsidRPr="00BC5F36" w:rsidRDefault="00BC5F36" w:rsidP="00BC5F36">
      <w:pPr>
        <w:numPr>
          <w:ilvl w:val="0"/>
          <w:numId w:val="9"/>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Mining Code Standoff</w:t>
      </w:r>
      <w:r w:rsidRPr="00BC5F36">
        <w:rPr>
          <w:rFonts w:ascii="Arial" w:eastAsia="Times New Roman" w:hAnsi="Arial" w:cs="Arial"/>
          <w:color w:val="1F1F1F"/>
          <w:kern w:val="0"/>
          <w:bdr w:val="none" w:sz="0" w:space="0" w:color="auto" w:frame="1"/>
          <w:lang w:eastAsia="en-GB"/>
          <w14:ligatures w14:val="none"/>
        </w:rPr>
        <w:t>: The International Seabed Authority (ISA) has been deadlocked. In July 2025, a coalition of 37 countries, financial institutions, and indigenous leaders successfully pushed for a pause on deep-sea mining, blocking the adoption of a commercial "Mining Code".</w:t>
      </w:r>
    </w:p>
    <w:p w14:paraId="0B59331C" w14:textId="77777777" w:rsidR="00BC5F36" w:rsidRPr="00BC5F36" w:rsidRDefault="00BC5F36" w:rsidP="00BC5F36">
      <w:pPr>
        <w:numPr>
          <w:ilvl w:val="0"/>
          <w:numId w:val="9"/>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Pressure</w:t>
      </w:r>
      <w:r w:rsidRPr="00BC5F36">
        <w:rPr>
          <w:rFonts w:ascii="Arial" w:eastAsia="Times New Roman" w:hAnsi="Arial" w:cs="Arial"/>
          <w:color w:val="1F1F1F"/>
          <w:kern w:val="0"/>
          <w:bdr w:val="none" w:sz="0" w:space="0" w:color="auto" w:frame="1"/>
          <w:lang w:eastAsia="en-GB"/>
          <w14:ligatures w14:val="none"/>
        </w:rPr>
        <w:t>: Despite this pause, the pressure from mining companies and nations like China (which dominates the terrestrial supply chain) is immense. The US, which is not a member of the ISA, issued unilateral regulations in 2026 to streamline permits for its own seabed exploration, ignoring international protocols. This sets the stage for a "law of the jungle" scenario in international waters, where nations may race to extract resources before a global consensus is reached.</w:t>
      </w:r>
    </w:p>
    <w:p w14:paraId="780A703E"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3.4 The Financialization of Nature</w:t>
      </w:r>
    </w:p>
    <w:p w14:paraId="4380E7C5" w14:textId="77777777" w:rsidR="00BC5F36" w:rsidRPr="00BC5F36" w:rsidRDefault="00BC5F36" w:rsidP="00BC5F36">
      <w:pPr>
        <w:spacing w:after="12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The movement to put a price on nature—specifically on biodiversity—is gaining traction as a mechanism to close the estimated $700 billion biodiversity funding gap. However, the market remains nascent and fraught with challenges.</w:t>
      </w:r>
    </w:p>
    <w:p w14:paraId="434843F6" w14:textId="77777777" w:rsidR="00BC5F36" w:rsidRPr="00BC5F36" w:rsidRDefault="00BC5F36" w:rsidP="00BC5F36">
      <w:pPr>
        <w:numPr>
          <w:ilvl w:val="0"/>
          <w:numId w:val="10"/>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Framework Wars</w:t>
      </w:r>
      <w:r w:rsidRPr="00BC5F36">
        <w:rPr>
          <w:rFonts w:ascii="Arial" w:eastAsia="Times New Roman" w:hAnsi="Arial" w:cs="Arial"/>
          <w:color w:val="1F1F1F"/>
          <w:kern w:val="0"/>
          <w:bdr w:val="none" w:sz="0" w:space="0" w:color="auto" w:frame="1"/>
          <w:lang w:eastAsia="en-GB"/>
          <w14:ligatures w14:val="none"/>
        </w:rPr>
        <w:t xml:space="preserve">: A significant development in late 2025 was the alignment between the </w:t>
      </w:r>
      <w:r w:rsidRPr="00BC5F36">
        <w:rPr>
          <w:rFonts w:ascii="Arial" w:eastAsia="Times New Roman" w:hAnsi="Arial" w:cs="Arial"/>
          <w:b/>
          <w:bCs/>
          <w:color w:val="1F1F1F"/>
          <w:kern w:val="0"/>
          <w:bdr w:val="none" w:sz="0" w:space="0" w:color="auto" w:frame="1"/>
          <w:lang w:eastAsia="en-GB"/>
          <w14:ligatures w14:val="none"/>
        </w:rPr>
        <w:t>ISSB</w:t>
      </w:r>
      <w:r w:rsidRPr="00BC5F36">
        <w:rPr>
          <w:rFonts w:ascii="Arial" w:eastAsia="Times New Roman" w:hAnsi="Arial" w:cs="Arial"/>
          <w:color w:val="1F1F1F"/>
          <w:kern w:val="0"/>
          <w:bdr w:val="none" w:sz="0" w:space="0" w:color="auto" w:frame="1"/>
          <w:lang w:eastAsia="en-GB"/>
          <w14:ligatures w14:val="none"/>
        </w:rPr>
        <w:t xml:space="preserve"> (International Sustainability Standards Board) and the </w:t>
      </w:r>
      <w:r w:rsidRPr="00BC5F36">
        <w:rPr>
          <w:rFonts w:ascii="Arial" w:eastAsia="Times New Roman" w:hAnsi="Arial" w:cs="Arial"/>
          <w:b/>
          <w:bCs/>
          <w:color w:val="1F1F1F"/>
          <w:kern w:val="0"/>
          <w:bdr w:val="none" w:sz="0" w:space="0" w:color="auto" w:frame="1"/>
          <w:lang w:eastAsia="en-GB"/>
          <w14:ligatures w14:val="none"/>
        </w:rPr>
        <w:t>TNFD</w:t>
      </w:r>
      <w:r w:rsidRPr="00BC5F36">
        <w:rPr>
          <w:rFonts w:ascii="Arial" w:eastAsia="Times New Roman" w:hAnsi="Arial" w:cs="Arial"/>
          <w:color w:val="1F1F1F"/>
          <w:kern w:val="0"/>
          <w:bdr w:val="none" w:sz="0" w:space="0" w:color="auto" w:frame="1"/>
          <w:lang w:eastAsia="en-GB"/>
          <w14:ligatures w14:val="none"/>
        </w:rPr>
        <w:t xml:space="preserve"> (Taskforce on Nature-related Financial Disclosures). The ISSB agreed to use the TNFD's framework for its nature standards, creating a path toward a global baseline for corporate reporting.</w:t>
      </w:r>
    </w:p>
    <w:p w14:paraId="46641493" w14:textId="77777777" w:rsidR="00BC5F36" w:rsidRPr="00BC5F36" w:rsidRDefault="00BC5F36" w:rsidP="00BC5F36">
      <w:pPr>
        <w:numPr>
          <w:ilvl w:val="0"/>
          <w:numId w:val="10"/>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Biodiversity Credits</w:t>
      </w:r>
      <w:r w:rsidRPr="00BC5F36">
        <w:rPr>
          <w:rFonts w:ascii="Arial" w:eastAsia="Times New Roman" w:hAnsi="Arial" w:cs="Arial"/>
          <w:color w:val="1F1F1F"/>
          <w:kern w:val="0"/>
          <w:bdr w:val="none" w:sz="0" w:space="0" w:color="auto" w:frame="1"/>
          <w:lang w:eastAsia="en-GB"/>
          <w14:ligatures w14:val="none"/>
        </w:rPr>
        <w:t xml:space="preserve">: The market for voluntary biodiversity credits remains "miniscule and over-hyped," with verifiable sales of just $3.7 million as of October 2025. The sector is plagued by a lack of standardization. Initiatives like the </w:t>
      </w:r>
      <w:r w:rsidRPr="00BC5F36">
        <w:rPr>
          <w:rFonts w:ascii="Arial" w:eastAsia="Times New Roman" w:hAnsi="Arial" w:cs="Arial"/>
          <w:b/>
          <w:bCs/>
          <w:color w:val="1F1F1F"/>
          <w:kern w:val="0"/>
          <w:bdr w:val="none" w:sz="0" w:space="0" w:color="auto" w:frame="1"/>
          <w:lang w:eastAsia="en-GB"/>
          <w14:ligatures w14:val="none"/>
        </w:rPr>
        <w:t>International Advisory Panel on Biodiversity Credits (IAPB)</w:t>
      </w:r>
      <w:r w:rsidRPr="00BC5F36">
        <w:rPr>
          <w:rFonts w:ascii="Arial" w:eastAsia="Times New Roman" w:hAnsi="Arial" w:cs="Arial"/>
          <w:color w:val="1F1F1F"/>
          <w:kern w:val="0"/>
          <w:bdr w:val="none" w:sz="0" w:space="0" w:color="auto" w:frame="1"/>
          <w:lang w:eastAsia="en-GB"/>
          <w14:ligatures w14:val="none"/>
        </w:rPr>
        <w:t xml:space="preserve"> are </w:t>
      </w:r>
      <w:r w:rsidRPr="00BC5F36">
        <w:rPr>
          <w:rFonts w:ascii="Arial" w:eastAsia="Times New Roman" w:hAnsi="Arial" w:cs="Arial"/>
          <w:color w:val="1F1F1F"/>
          <w:kern w:val="0"/>
          <w:bdr w:val="none" w:sz="0" w:space="0" w:color="auto" w:frame="1"/>
          <w:lang w:eastAsia="en-GB"/>
          <w14:ligatures w14:val="none"/>
        </w:rPr>
        <w:lastRenderedPageBreak/>
        <w:t>attempting to create high-integrity principles to prevent "greenwashing" and ensure that credits represent genuine, permanent biodiversity gains.</w:t>
      </w:r>
    </w:p>
    <w:p w14:paraId="08762DF0" w14:textId="77777777" w:rsidR="00BC5F36" w:rsidRPr="00BC5F36" w:rsidRDefault="00F04769" w:rsidP="00BC5F36">
      <w:pPr>
        <w:spacing w:after="120"/>
        <w:rPr>
          <w:rFonts w:ascii="Arial" w:eastAsia="Times New Roman" w:hAnsi="Arial" w:cs="Arial"/>
          <w:kern w:val="0"/>
          <w:lang w:eastAsia="en-GB"/>
          <w14:ligatures w14:val="none"/>
        </w:rPr>
      </w:pPr>
      <w:r w:rsidRPr="00F04769">
        <w:rPr>
          <w:rFonts w:ascii="Times New Roman" w:eastAsia="Times New Roman" w:hAnsi="Times New Roman" w:cs="Times New Roman"/>
          <w:noProof/>
          <w:kern w:val="0"/>
          <w:lang w:eastAsia="en-GB"/>
        </w:rPr>
        <w:pict w14:anchorId="56DE41A0">
          <v:rect id="_x0000_i1027" alt="" style="width:451.3pt;height:.05pt;mso-width-percent:0;mso-height-percent:0;mso-width-percent:0;mso-height-percent:0" o:hralign="center" o:hrstd="t" o:hrnoshade="t" o:hr="t" fillcolor="gray" stroked="f"/>
        </w:pict>
      </w:r>
    </w:p>
    <w:p w14:paraId="38CCFE32" w14:textId="77777777" w:rsidR="00BC5F36" w:rsidRPr="00BC5F36" w:rsidRDefault="00BC5F36" w:rsidP="00BC5F36">
      <w:pPr>
        <w:spacing w:after="120"/>
        <w:outlineLvl w:val="1"/>
        <w:rPr>
          <w:rFonts w:ascii="Arial" w:eastAsia="Times New Roman" w:hAnsi="Arial" w:cs="Arial"/>
          <w:b/>
          <w:bCs/>
          <w:color w:val="1F1F1F"/>
          <w:kern w:val="0"/>
          <w:sz w:val="36"/>
          <w:szCs w:val="36"/>
          <w:lang w:eastAsia="en-GB"/>
          <w14:ligatures w14:val="none"/>
        </w:rPr>
      </w:pPr>
      <w:r w:rsidRPr="00BC5F36">
        <w:rPr>
          <w:rFonts w:ascii="Arial" w:eastAsia="Times New Roman" w:hAnsi="Arial" w:cs="Arial"/>
          <w:b/>
          <w:bCs/>
          <w:color w:val="1F1F1F"/>
          <w:kern w:val="0"/>
          <w:sz w:val="36"/>
          <w:szCs w:val="36"/>
          <w:lang w:eastAsia="en-GB"/>
          <w14:ligatures w14:val="none"/>
        </w:rPr>
        <w:t>4. The Human Condition in a Fragmented World (Society)</w:t>
      </w:r>
    </w:p>
    <w:p w14:paraId="2B408BDF" w14:textId="77777777" w:rsidR="00BC5F36" w:rsidRPr="00BC5F36" w:rsidRDefault="00BC5F36" w:rsidP="00BC5F36">
      <w:pPr>
        <w:spacing w:after="24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The social fabric of the 2025 world is straining under two opposing forces: the atomization of the individual in the West, leading to a profound crisis of connection, and the mass displacement of the "youth bulge" in the Global South.</w:t>
      </w:r>
    </w:p>
    <w:p w14:paraId="6642BD54"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4.1 The Loneliness Pandemic as an Economic Risk</w:t>
      </w:r>
    </w:p>
    <w:p w14:paraId="29663F1F"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 xml:space="preserve">In 2025, the World Health Organization (WHO) declared loneliness a global public health priority. The statistics are staggering: </w:t>
      </w:r>
      <w:r w:rsidRPr="00BC5F36">
        <w:rPr>
          <w:rFonts w:ascii="Arial" w:eastAsia="Times New Roman" w:hAnsi="Arial" w:cs="Arial"/>
          <w:b/>
          <w:bCs/>
          <w:color w:val="1F1F1F"/>
          <w:kern w:val="0"/>
          <w:bdr w:val="none" w:sz="0" w:space="0" w:color="auto" w:frame="1"/>
          <w:lang w:eastAsia="en-GB"/>
          <w14:ligatures w14:val="none"/>
        </w:rPr>
        <w:t>1 in 6 people</w:t>
      </w:r>
      <w:r w:rsidRPr="00BC5F36">
        <w:rPr>
          <w:rFonts w:ascii="Arial" w:eastAsia="Times New Roman" w:hAnsi="Arial" w:cs="Arial"/>
          <w:color w:val="1F1F1F"/>
          <w:kern w:val="0"/>
          <w:bdr w:val="none" w:sz="0" w:space="0" w:color="auto" w:frame="1"/>
          <w:lang w:eastAsia="en-GB"/>
          <w14:ligatures w14:val="none"/>
        </w:rPr>
        <w:t xml:space="preserve"> worldwide are affected, including 24% of people in low-income countries.</w:t>
      </w:r>
    </w:p>
    <w:p w14:paraId="5290488D" w14:textId="77777777" w:rsidR="00BC5F36" w:rsidRPr="00BC5F36" w:rsidRDefault="00BC5F36" w:rsidP="00BC5F36">
      <w:pPr>
        <w:numPr>
          <w:ilvl w:val="0"/>
          <w:numId w:val="11"/>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Economic Cost</w:t>
      </w:r>
      <w:r w:rsidRPr="00BC5F36">
        <w:rPr>
          <w:rFonts w:ascii="Arial" w:eastAsia="Times New Roman" w:hAnsi="Arial" w:cs="Arial"/>
          <w:color w:val="1F1F1F"/>
          <w:kern w:val="0"/>
          <w:bdr w:val="none" w:sz="0" w:space="0" w:color="auto" w:frame="1"/>
          <w:lang w:eastAsia="en-GB"/>
          <w14:ligatures w14:val="none"/>
        </w:rPr>
        <w:t xml:space="preserve">: Loneliness is no longer just a social issue; it is a Tier-1 economic risk. In the US alone, loneliness is estimated to cost the economy </w:t>
      </w:r>
      <w:r w:rsidRPr="00BC5F36">
        <w:rPr>
          <w:rFonts w:ascii="Arial" w:eastAsia="Times New Roman" w:hAnsi="Arial" w:cs="Arial"/>
          <w:b/>
          <w:bCs/>
          <w:color w:val="1F1F1F"/>
          <w:kern w:val="0"/>
          <w:bdr w:val="none" w:sz="0" w:space="0" w:color="auto" w:frame="1"/>
          <w:lang w:eastAsia="en-GB"/>
          <w14:ligatures w14:val="none"/>
        </w:rPr>
        <w:t>$460 billion annually</w:t>
      </w:r>
      <w:r w:rsidRPr="00BC5F36">
        <w:rPr>
          <w:rFonts w:ascii="Arial" w:eastAsia="Times New Roman" w:hAnsi="Arial" w:cs="Arial"/>
          <w:color w:val="1F1F1F"/>
          <w:kern w:val="0"/>
          <w:bdr w:val="none" w:sz="0" w:space="0" w:color="auto" w:frame="1"/>
          <w:lang w:eastAsia="en-GB"/>
          <w14:ligatures w14:val="none"/>
        </w:rPr>
        <w:t xml:space="preserve"> due to absenteeism, lost productivity, and increased healthcare utilization.</w:t>
      </w:r>
    </w:p>
    <w:p w14:paraId="043C1D39" w14:textId="77777777" w:rsidR="00BC5F36" w:rsidRPr="00BC5F36" w:rsidRDefault="00BC5F36" w:rsidP="00BC5F36">
      <w:pPr>
        <w:numPr>
          <w:ilvl w:val="0"/>
          <w:numId w:val="11"/>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Health Impact</w:t>
      </w:r>
      <w:r w:rsidRPr="00BC5F36">
        <w:rPr>
          <w:rFonts w:ascii="Arial" w:eastAsia="Times New Roman" w:hAnsi="Arial" w:cs="Arial"/>
          <w:color w:val="1F1F1F"/>
          <w:kern w:val="0"/>
          <w:bdr w:val="none" w:sz="0" w:space="0" w:color="auto" w:frame="1"/>
          <w:lang w:eastAsia="en-GB"/>
          <w14:ligatures w14:val="none"/>
        </w:rPr>
        <w:t>: Loneliness is linked to 100 deaths every hour and increases the risk of stroke, dementia, and heart disease. It is now treated by insurers and health ministries as a mortality risk factor comparable to smoking or obesity. This is driving the emergence of a "Connection Economy," where social infrastructure—from community centers to digital platforms designed for genuine interaction—is becoming a key investment theme.</w:t>
      </w:r>
    </w:p>
    <w:p w14:paraId="1139B893"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4.2 The Great Wealth Migration</w:t>
      </w:r>
    </w:p>
    <w:p w14:paraId="6E6AA0F6"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While the poor migrate for survival, the rich migrate for efficiency and stability. 2025 has seen a surge in </w:t>
      </w:r>
      <w:r w:rsidRPr="00BC5F36">
        <w:rPr>
          <w:rFonts w:ascii="Arial" w:eastAsia="Times New Roman" w:hAnsi="Arial" w:cs="Arial"/>
          <w:b/>
          <w:bCs/>
          <w:color w:val="1F1F1F"/>
          <w:kern w:val="0"/>
          <w:bdr w:val="none" w:sz="0" w:space="0" w:color="auto" w:frame="1"/>
          <w:lang w:eastAsia="en-GB"/>
          <w14:ligatures w14:val="none"/>
        </w:rPr>
        <w:t>High-Net-Worth Individual (HNWI) migration</w:t>
      </w:r>
      <w:r w:rsidRPr="00BC5F36">
        <w:rPr>
          <w:rFonts w:ascii="Arial" w:eastAsia="Times New Roman" w:hAnsi="Arial" w:cs="Arial"/>
          <w:color w:val="1F1F1F"/>
          <w:kern w:val="0"/>
          <w:lang w:eastAsia="en-GB"/>
          <w14:ligatures w14:val="none"/>
        </w:rPr>
        <w:t>, driven by tax policy shifts and geopolitical instability.</w:t>
      </w:r>
    </w:p>
    <w:p w14:paraId="0BADFB1A" w14:textId="77777777" w:rsidR="00BC5F36" w:rsidRPr="00BC5F36" w:rsidRDefault="00BC5F36" w:rsidP="00BC5F36">
      <w:pPr>
        <w:numPr>
          <w:ilvl w:val="0"/>
          <w:numId w:val="12"/>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UK Exodus</w:t>
      </w:r>
      <w:r w:rsidRPr="00BC5F36">
        <w:rPr>
          <w:rFonts w:ascii="Arial" w:eastAsia="Times New Roman" w:hAnsi="Arial" w:cs="Arial"/>
          <w:color w:val="1F1F1F"/>
          <w:kern w:val="0"/>
          <w:bdr w:val="none" w:sz="0" w:space="0" w:color="auto" w:frame="1"/>
          <w:lang w:eastAsia="en-GB"/>
          <w14:ligatures w14:val="none"/>
        </w:rPr>
        <w:t xml:space="preserve">: The abolition of the UK's "non-dom" tax status has triggered the flight of nearly </w:t>
      </w:r>
      <w:r w:rsidRPr="00BC5F36">
        <w:rPr>
          <w:rFonts w:ascii="Arial" w:eastAsia="Times New Roman" w:hAnsi="Arial" w:cs="Arial"/>
          <w:b/>
          <w:bCs/>
          <w:color w:val="1F1F1F"/>
          <w:kern w:val="0"/>
          <w:bdr w:val="none" w:sz="0" w:space="0" w:color="auto" w:frame="1"/>
          <w:lang w:eastAsia="en-GB"/>
          <w14:ligatures w14:val="none"/>
        </w:rPr>
        <w:t>16,500 millionaires</w:t>
      </w:r>
      <w:r w:rsidRPr="00BC5F36">
        <w:rPr>
          <w:rFonts w:ascii="Arial" w:eastAsia="Times New Roman" w:hAnsi="Arial" w:cs="Arial"/>
          <w:color w:val="1F1F1F"/>
          <w:kern w:val="0"/>
          <w:bdr w:val="none" w:sz="0" w:space="0" w:color="auto" w:frame="1"/>
          <w:lang w:eastAsia="en-GB"/>
          <w14:ligatures w14:val="none"/>
        </w:rPr>
        <w:t>, who are relocating to jurisdictions like the UAE, Switzerland, and Italy.</w:t>
      </w:r>
    </w:p>
    <w:p w14:paraId="2C86BFFB" w14:textId="77777777" w:rsidR="00BC5F36" w:rsidRPr="00BC5F36" w:rsidRDefault="00BC5F36" w:rsidP="00BC5F36">
      <w:pPr>
        <w:numPr>
          <w:ilvl w:val="0"/>
          <w:numId w:val="12"/>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Jurisdiction Shopping</w:t>
      </w:r>
      <w:r w:rsidRPr="00BC5F36">
        <w:rPr>
          <w:rFonts w:ascii="Arial" w:eastAsia="Times New Roman" w:hAnsi="Arial" w:cs="Arial"/>
          <w:color w:val="1F1F1F"/>
          <w:kern w:val="0"/>
          <w:bdr w:val="none" w:sz="0" w:space="0" w:color="auto" w:frame="1"/>
          <w:lang w:eastAsia="en-GB"/>
          <w14:ligatures w14:val="none"/>
        </w:rPr>
        <w:t>: This has created a competitive global market for residency. Digital Nomad Visas—now offered by over 43 jurisdictions, including Japan and Thailand—are evolving into "Gold Cards" for the wealthy mobile class. Wealth is no longer static; it flows to where it is treated best, further eroding the tax base of traditional welfare states and increasing the concentration of capital in "haven" jurisdictions.</w:t>
      </w:r>
    </w:p>
    <w:p w14:paraId="487FC81D" w14:textId="77777777" w:rsidR="00BC5F36" w:rsidRPr="00BC5F36" w:rsidRDefault="00BC5F36" w:rsidP="00BC5F36">
      <w:pPr>
        <w:spacing w:after="120"/>
        <w:outlineLvl w:val="2"/>
        <w:rPr>
          <w:rFonts w:ascii="Arial" w:eastAsia="Times New Roman" w:hAnsi="Arial" w:cs="Arial"/>
          <w:b/>
          <w:bCs/>
          <w:color w:val="1F1F1F"/>
          <w:kern w:val="0"/>
          <w:sz w:val="27"/>
          <w:szCs w:val="27"/>
          <w:lang w:eastAsia="en-GB"/>
          <w14:ligatures w14:val="none"/>
        </w:rPr>
      </w:pPr>
      <w:r w:rsidRPr="00BC5F36">
        <w:rPr>
          <w:rFonts w:ascii="Arial" w:eastAsia="Times New Roman" w:hAnsi="Arial" w:cs="Arial"/>
          <w:b/>
          <w:bCs/>
          <w:color w:val="1F1F1F"/>
          <w:kern w:val="0"/>
          <w:sz w:val="27"/>
          <w:szCs w:val="27"/>
          <w:lang w:eastAsia="en-GB"/>
          <w14:ligatures w14:val="none"/>
        </w:rPr>
        <w:t>4.3 Biosecurity in the Age of AI</w:t>
      </w:r>
    </w:p>
    <w:p w14:paraId="692CE8C2"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The democratization of </w:t>
      </w:r>
      <w:r w:rsidRPr="00BC5F36">
        <w:rPr>
          <w:rFonts w:ascii="Arial" w:eastAsia="Times New Roman" w:hAnsi="Arial" w:cs="Arial"/>
          <w:b/>
          <w:bCs/>
          <w:color w:val="1F1F1F"/>
          <w:kern w:val="0"/>
          <w:bdr w:val="none" w:sz="0" w:space="0" w:color="auto" w:frame="1"/>
          <w:lang w:eastAsia="en-GB"/>
          <w14:ligatures w14:val="none"/>
        </w:rPr>
        <w:t>Synthetic Biology</w:t>
      </w:r>
      <w:r w:rsidRPr="00BC5F36">
        <w:rPr>
          <w:rFonts w:ascii="Arial" w:eastAsia="Times New Roman" w:hAnsi="Arial" w:cs="Arial"/>
          <w:color w:val="1F1F1F"/>
          <w:kern w:val="0"/>
          <w:lang w:eastAsia="en-GB"/>
          <w14:ligatures w14:val="none"/>
        </w:rPr>
        <w:t xml:space="preserve"> (SynBio) and AI tools for protein design has lowered the barrier to entry for creating biological threats.</w:t>
      </w:r>
    </w:p>
    <w:p w14:paraId="7AEA4DB7" w14:textId="77777777" w:rsidR="00BC5F36" w:rsidRPr="00BC5F36" w:rsidRDefault="00BC5F36" w:rsidP="00BC5F36">
      <w:pPr>
        <w:numPr>
          <w:ilvl w:val="0"/>
          <w:numId w:val="13"/>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The "Biosecurity Really" Report</w:t>
      </w:r>
      <w:r w:rsidRPr="00BC5F36">
        <w:rPr>
          <w:rFonts w:ascii="Arial" w:eastAsia="Times New Roman" w:hAnsi="Arial" w:cs="Arial"/>
          <w:color w:val="1F1F1F"/>
          <w:kern w:val="0"/>
          <w:bdr w:val="none" w:sz="0" w:space="0" w:color="auto" w:frame="1"/>
          <w:lang w:eastAsia="en-GB"/>
          <w14:ligatures w14:val="none"/>
        </w:rPr>
        <w:t>: Released in late 2025 by the Hoover Institution, this landmark report warns that the biosecurity threat landscape has fundamentally changed. It calls for a "Sustained Biological Intelligence (BIOINT)" program and strictly enforced "DNA synthesis screening" to prevent AI-designed pathogens from being printed by mail-order labs.</w:t>
      </w:r>
    </w:p>
    <w:p w14:paraId="09B44D43" w14:textId="77777777" w:rsidR="00BC5F36" w:rsidRPr="00BC5F36" w:rsidRDefault="00BC5F36" w:rsidP="00BC5F36">
      <w:pPr>
        <w:numPr>
          <w:ilvl w:val="0"/>
          <w:numId w:val="13"/>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AI Risk</w:t>
      </w:r>
      <w:r w:rsidRPr="00BC5F36">
        <w:rPr>
          <w:rFonts w:ascii="Arial" w:eastAsia="Times New Roman" w:hAnsi="Arial" w:cs="Arial"/>
          <w:color w:val="1F1F1F"/>
          <w:kern w:val="0"/>
          <w:bdr w:val="none" w:sz="0" w:space="0" w:color="auto" w:frame="1"/>
          <w:lang w:eastAsia="en-GB"/>
          <w14:ligatures w14:val="none"/>
        </w:rPr>
        <w:t xml:space="preserve">: Current screening protocols are insufficient to catch AI-designed protein threats. The convergence of generative AI and biology means that a </w:t>
      </w:r>
      <w:r w:rsidRPr="00BC5F36">
        <w:rPr>
          <w:rFonts w:ascii="Arial" w:eastAsia="Times New Roman" w:hAnsi="Arial" w:cs="Arial"/>
          <w:color w:val="1F1F1F"/>
          <w:kern w:val="0"/>
          <w:bdr w:val="none" w:sz="0" w:space="0" w:color="auto" w:frame="1"/>
          <w:lang w:eastAsia="en-GB"/>
          <w14:ligatures w14:val="none"/>
        </w:rPr>
        <w:lastRenderedPageBreak/>
        <w:t>"bio-cyber" attack—where a biological agent is designed by an AI and distributed via automated synthesis—could be the next major global shock.</w:t>
      </w:r>
    </w:p>
    <w:p w14:paraId="6504A67B" w14:textId="77777777" w:rsidR="00BC5F36" w:rsidRPr="00BC5F36" w:rsidRDefault="00F04769" w:rsidP="00BC5F36">
      <w:pPr>
        <w:spacing w:after="120"/>
        <w:rPr>
          <w:rFonts w:ascii="Arial" w:eastAsia="Times New Roman" w:hAnsi="Arial" w:cs="Arial"/>
          <w:kern w:val="0"/>
          <w:lang w:eastAsia="en-GB"/>
          <w14:ligatures w14:val="none"/>
        </w:rPr>
      </w:pPr>
      <w:r>
        <w:rPr>
          <w:noProof/>
        </w:rPr>
      </w:r>
      <w:r>
        <w:pict w14:anchorId="5EF2E5D3">
          <v:rect id="Horizontal Line 5"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6TPoUtwAAAAH&#13;&#10;AQAADwAAAAAAAAAAAAAAAABkBAAAZHJzL2Rvd25yZXYueG1sUEsFBgAAAAAEAAQA8wAAAG0FAAAA&#13;&#10;AA==&#13;&#10;" fillcolor="gray" stroked="f">
            <o:lock v:ext="edit" rotation="t" aspectratio="t" verticies="t" text="t" shapetype="t"/>
            <w10:anchorlock/>
          </v:rect>
        </w:pict>
      </w:r>
    </w:p>
    <w:p w14:paraId="7E739DCA" w14:textId="77777777" w:rsidR="00BC5F36" w:rsidRPr="00BC5F36" w:rsidRDefault="00BC5F36" w:rsidP="00BC5F36">
      <w:pPr>
        <w:spacing w:after="120"/>
        <w:outlineLvl w:val="1"/>
        <w:rPr>
          <w:rFonts w:ascii="Arial" w:eastAsia="Times New Roman" w:hAnsi="Arial" w:cs="Arial"/>
          <w:b/>
          <w:bCs/>
          <w:color w:val="1F1F1F"/>
          <w:kern w:val="0"/>
          <w:sz w:val="36"/>
          <w:szCs w:val="36"/>
          <w:lang w:eastAsia="en-GB"/>
          <w14:ligatures w14:val="none"/>
        </w:rPr>
      </w:pPr>
      <w:r w:rsidRPr="00BC5F36">
        <w:rPr>
          <w:rFonts w:ascii="Arial" w:eastAsia="Times New Roman" w:hAnsi="Arial" w:cs="Arial"/>
          <w:b/>
          <w:bCs/>
          <w:color w:val="1F1F1F"/>
          <w:kern w:val="0"/>
          <w:sz w:val="36"/>
          <w:szCs w:val="36"/>
          <w:lang w:eastAsia="en-GB"/>
          <w14:ligatures w14:val="none"/>
        </w:rPr>
        <w:t>5. Conclusion: Managing the Poly-Crisis</w:t>
      </w:r>
    </w:p>
    <w:p w14:paraId="347937CF" w14:textId="77777777" w:rsidR="00BC5F36" w:rsidRPr="00BC5F36" w:rsidRDefault="00BC5F36" w:rsidP="00BC5F36">
      <w:pPr>
        <w:spacing w:after="120"/>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The period of 2025–2026 is a hinge point in history. The unified global system is giving way to a fragmented, modular world.</w:t>
      </w:r>
    </w:p>
    <w:p w14:paraId="295EC98E" w14:textId="77777777" w:rsidR="00BC5F36" w:rsidRPr="00BC5F36" w:rsidRDefault="00BC5F36" w:rsidP="00BC5F36">
      <w:pPr>
        <w:numPr>
          <w:ilvl w:val="0"/>
          <w:numId w:val="14"/>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Financial power</w:t>
      </w:r>
      <w:r w:rsidRPr="00BC5F36">
        <w:rPr>
          <w:rFonts w:ascii="Arial" w:eastAsia="Times New Roman" w:hAnsi="Arial" w:cs="Arial"/>
          <w:color w:val="1F1F1F"/>
          <w:kern w:val="0"/>
          <w:lang w:eastAsia="en-GB"/>
          <w14:ligatures w14:val="none"/>
        </w:rPr>
        <w:t xml:space="preserve"> is bifurcating into Dollar and CBDC blocs, with mBridge leading the charge toward a sanction-proof economy.</w:t>
      </w:r>
    </w:p>
    <w:p w14:paraId="34671FC2" w14:textId="77777777" w:rsidR="00BC5F36" w:rsidRPr="00BC5F36" w:rsidRDefault="00BC5F36" w:rsidP="00BC5F36">
      <w:pPr>
        <w:numPr>
          <w:ilvl w:val="0"/>
          <w:numId w:val="14"/>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Political power</w:t>
      </w:r>
      <w:r w:rsidRPr="00BC5F36">
        <w:rPr>
          <w:rFonts w:ascii="Arial" w:eastAsia="Times New Roman" w:hAnsi="Arial" w:cs="Arial"/>
          <w:color w:val="1F1F1F"/>
          <w:kern w:val="0"/>
          <w:lang w:eastAsia="en-GB"/>
          <w14:ligatures w14:val="none"/>
        </w:rPr>
        <w:t xml:space="preserve"> is leaking from Nation States to Network States, Private Militaries, and corporate enclaves.</w:t>
      </w:r>
    </w:p>
    <w:p w14:paraId="733A20C7" w14:textId="77777777" w:rsidR="00BC5F36" w:rsidRPr="00BC5F36" w:rsidRDefault="00BC5F36" w:rsidP="00BC5F36">
      <w:pPr>
        <w:numPr>
          <w:ilvl w:val="0"/>
          <w:numId w:val="14"/>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Technological power</w:t>
      </w:r>
      <w:r w:rsidRPr="00BC5F36">
        <w:rPr>
          <w:rFonts w:ascii="Arial" w:eastAsia="Times New Roman" w:hAnsi="Arial" w:cs="Arial"/>
          <w:color w:val="1F1F1F"/>
          <w:kern w:val="0"/>
          <w:lang w:eastAsia="en-GB"/>
          <w14:ligatures w14:val="none"/>
        </w:rPr>
        <w:t xml:space="preserve"> is diverging into energy-hungry Silicon and efficient Neuromorphic/Quantum systems, forcing a rethink of compute architecture.</w:t>
      </w:r>
    </w:p>
    <w:p w14:paraId="18086131" w14:textId="77777777" w:rsidR="00BC5F36" w:rsidRPr="00BC5F36" w:rsidRDefault="00BC5F36" w:rsidP="00BC5F36">
      <w:pPr>
        <w:numPr>
          <w:ilvl w:val="0"/>
          <w:numId w:val="14"/>
        </w:num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Planetary power</w:t>
      </w:r>
      <w:r w:rsidRPr="00BC5F36">
        <w:rPr>
          <w:rFonts w:ascii="Arial" w:eastAsia="Times New Roman" w:hAnsi="Arial" w:cs="Arial"/>
          <w:color w:val="1F1F1F"/>
          <w:kern w:val="0"/>
          <w:lang w:eastAsia="en-GB"/>
          <w14:ligatures w14:val="none"/>
        </w:rPr>
        <w:t xml:space="preserve"> is being contested in the deep ocean and the stratosphere, with unilateral actors taking risks that affect the entire globe.</w:t>
      </w:r>
    </w:p>
    <w:p w14:paraId="148541B0"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lang w:eastAsia="en-GB"/>
          <w14:ligatures w14:val="none"/>
        </w:rPr>
        <w:t xml:space="preserve">For strategists and policymakers, the challenge is no longer "globalization" or "de-coupling," but </w:t>
      </w:r>
      <w:r w:rsidRPr="00BC5F36">
        <w:rPr>
          <w:rFonts w:ascii="Arial" w:eastAsia="Times New Roman" w:hAnsi="Arial" w:cs="Arial"/>
          <w:b/>
          <w:bCs/>
          <w:color w:val="1F1F1F"/>
          <w:kern w:val="0"/>
          <w:bdr w:val="none" w:sz="0" w:space="0" w:color="auto" w:frame="1"/>
          <w:lang w:eastAsia="en-GB"/>
          <w14:ligatures w14:val="none"/>
        </w:rPr>
        <w:t>navigating the interface</w:t>
      </w:r>
      <w:r w:rsidRPr="00BC5F36">
        <w:rPr>
          <w:rFonts w:ascii="Arial" w:eastAsia="Times New Roman" w:hAnsi="Arial" w:cs="Arial"/>
          <w:color w:val="1F1F1F"/>
          <w:kern w:val="0"/>
          <w:lang w:eastAsia="en-GB"/>
          <w14:ligatures w14:val="none"/>
        </w:rPr>
        <w:t xml:space="preserve"> between these parallel systems. Success will depend on the ability to operate across multiple "stacks"—managing a supply chain that touches China's mBridge and America's SWIFT, a workforce that is human and AI-augmented, and an energy portfolio that spans the dirty reality of coal and the future promise of fusion.</w:t>
      </w:r>
    </w:p>
    <w:p w14:paraId="5735A8D8" w14:textId="77777777" w:rsidR="00BC5F36" w:rsidRPr="00BC5F36" w:rsidRDefault="00F04769" w:rsidP="00BC5F36">
      <w:pPr>
        <w:spacing w:after="120"/>
        <w:rPr>
          <w:rFonts w:ascii="Arial" w:eastAsia="Times New Roman" w:hAnsi="Arial" w:cs="Arial"/>
          <w:kern w:val="0"/>
          <w:lang w:eastAsia="en-GB"/>
          <w14:ligatures w14:val="none"/>
        </w:rPr>
      </w:pPr>
      <w:r>
        <w:rPr>
          <w:noProof/>
        </w:rPr>
      </w:r>
      <w:r>
        <w:pict w14:anchorId="2B010DB8">
          <v:rect id="Horizontal Lin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6TPoUtwAAAAH&#13;&#10;AQAADwAAAAAAAAAAAAAAAABkBAAAZHJzL2Rvd25yZXYueG1sUEsFBgAAAAAEAAQA8wAAAG0FAAAA&#13;&#10;AA==&#13;&#10;" fillcolor="gray" stroked="f">
            <o:lock v:ext="edit" rotation="t" aspectratio="t" verticies="t" text="t" shapetype="t"/>
            <w10:anchorlock/>
          </v:rect>
        </w:pict>
      </w:r>
    </w:p>
    <w:p w14:paraId="409B513E"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Report filed by the Global Strategy Desk.</w:t>
      </w:r>
    </w:p>
    <w:p w14:paraId="21888B25"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i/>
          <w:iCs/>
          <w:color w:val="1F1F1F"/>
          <w:kern w:val="0"/>
          <w:bdr w:val="none" w:sz="0" w:space="0" w:color="auto" w:frame="1"/>
          <w:lang w:eastAsia="en-GB"/>
          <w14:ligatures w14:val="none"/>
        </w:rPr>
        <w:t>February 2026</w:t>
      </w:r>
    </w:p>
    <w:tbl>
      <w:tblPr>
        <w:tblW w:w="0" w:type="auto"/>
        <w:tblCellSpacing w:w="15" w:type="dxa"/>
        <w:tblCellMar>
          <w:left w:w="0" w:type="dxa"/>
          <w:right w:w="0" w:type="dxa"/>
        </w:tblCellMar>
        <w:tblLook w:val="04A0" w:firstRow="1" w:lastRow="0" w:firstColumn="1" w:lastColumn="0" w:noHBand="0" w:noVBand="1"/>
      </w:tblPr>
      <w:tblGrid>
        <w:gridCol w:w="1944"/>
        <w:gridCol w:w="3014"/>
        <w:gridCol w:w="2803"/>
        <w:gridCol w:w="1249"/>
      </w:tblGrid>
      <w:tr w:rsidR="00BC5F36" w:rsidRPr="00BC5F36" w14:paraId="249939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ED932"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Trend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F02F9"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Key Data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1B996"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Implication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992FF"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Source</w:t>
            </w:r>
          </w:p>
        </w:tc>
      </w:tr>
      <w:tr w:rsidR="00BC5F36" w:rsidRPr="00BC5F36" w14:paraId="26D691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DF5CE"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mBridge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BB8DA"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$55.5 Billion transaction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F54F2"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Rise of sanction-proof economy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A81E8" w14:textId="77777777" w:rsidR="00BC5F36" w:rsidRPr="00BC5F36" w:rsidRDefault="00BC5F36" w:rsidP="00BC5F36">
            <w:pPr>
              <w:rPr>
                <w:rFonts w:ascii="Arial" w:eastAsia="Times New Roman" w:hAnsi="Arial" w:cs="Arial"/>
                <w:color w:val="1F1F1F"/>
                <w:kern w:val="0"/>
                <w:lang w:eastAsia="en-GB"/>
                <w14:ligatures w14:val="none"/>
              </w:rPr>
            </w:pPr>
          </w:p>
        </w:tc>
      </w:tr>
      <w:tr w:rsidR="00BC5F36" w:rsidRPr="00BC5F36" w14:paraId="51AC79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23EF5"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Private Military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5E611"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"System Integrators" &amp; "Data Brokers"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E254"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Commoditization of conflict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2ADA5" w14:textId="77777777" w:rsidR="00BC5F36" w:rsidRPr="00BC5F36" w:rsidRDefault="00BC5F36" w:rsidP="00BC5F36">
            <w:pPr>
              <w:rPr>
                <w:rFonts w:ascii="Arial" w:eastAsia="Times New Roman" w:hAnsi="Arial" w:cs="Arial"/>
                <w:color w:val="1F1F1F"/>
                <w:kern w:val="0"/>
                <w:lang w:eastAsia="en-GB"/>
                <w14:ligatures w14:val="none"/>
              </w:rPr>
            </w:pPr>
          </w:p>
        </w:tc>
      </w:tr>
      <w:tr w:rsidR="00BC5F36" w:rsidRPr="00BC5F36" w14:paraId="075103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A2FD3"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Fusion Energy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996E1"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Helion/Microsoft PPA (2028)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E1EC9"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First commercial fusion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FF82F" w14:textId="77777777" w:rsidR="00BC5F36" w:rsidRPr="00BC5F36" w:rsidRDefault="00BC5F36" w:rsidP="00BC5F36">
            <w:pPr>
              <w:rPr>
                <w:rFonts w:ascii="Arial" w:eastAsia="Times New Roman" w:hAnsi="Arial" w:cs="Arial"/>
                <w:color w:val="1F1F1F"/>
                <w:kern w:val="0"/>
                <w:lang w:eastAsia="en-GB"/>
                <w14:ligatures w14:val="none"/>
              </w:rPr>
            </w:pPr>
          </w:p>
        </w:tc>
      </w:tr>
      <w:tr w:rsidR="00BC5F36" w:rsidRPr="00BC5F36" w14:paraId="3B443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EC2A7"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Loneliness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E5A6F"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$460 Billion annual cost (US)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01F07"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Productivity &amp; Health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32D0E" w14:textId="77777777" w:rsidR="00BC5F36" w:rsidRPr="00BC5F36" w:rsidRDefault="00BC5F36" w:rsidP="00BC5F36">
            <w:pPr>
              <w:rPr>
                <w:rFonts w:ascii="Arial" w:eastAsia="Times New Roman" w:hAnsi="Arial" w:cs="Arial"/>
                <w:color w:val="1F1F1F"/>
                <w:kern w:val="0"/>
                <w:lang w:eastAsia="en-GB"/>
                <w14:ligatures w14:val="none"/>
              </w:rPr>
            </w:pPr>
          </w:p>
        </w:tc>
      </w:tr>
      <w:tr w:rsidR="00BC5F36" w:rsidRPr="00BC5F36" w14:paraId="6B847A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5A976"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b/>
                <w:bCs/>
                <w:color w:val="1F1F1F"/>
                <w:kern w:val="0"/>
                <w:bdr w:val="none" w:sz="0" w:space="0" w:color="auto" w:frame="1"/>
                <w:lang w:eastAsia="en-GB"/>
                <w14:ligatures w14:val="none"/>
              </w:rPr>
              <w:t>Wealth Migration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2F474"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16,500 UK Millionaires leaving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8BEC8" w14:textId="77777777" w:rsidR="00BC5F36" w:rsidRPr="00BC5F36" w:rsidRDefault="00BC5F36" w:rsidP="00BC5F36">
            <w:pPr>
              <w:rPr>
                <w:rFonts w:ascii="Arial" w:eastAsia="Times New Roman" w:hAnsi="Arial" w:cs="Arial"/>
                <w:color w:val="1F1F1F"/>
                <w:kern w:val="0"/>
                <w:lang w:eastAsia="en-GB"/>
                <w14:ligatures w14:val="none"/>
              </w:rPr>
            </w:pPr>
            <w:r w:rsidRPr="00BC5F36">
              <w:rPr>
                <w:rFonts w:ascii="Arial" w:eastAsia="Times New Roman" w:hAnsi="Arial" w:cs="Arial"/>
                <w:color w:val="1F1F1F"/>
                <w:kern w:val="0"/>
                <w:bdr w:val="none" w:sz="0" w:space="0" w:color="auto" w:frame="1"/>
                <w:lang w:eastAsia="en-GB"/>
                <w14:ligatures w14:val="none"/>
              </w:rPr>
              <w:t>Jurisdiction competition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C0B27" w14:textId="77777777" w:rsidR="00BC5F36" w:rsidRPr="00BC5F36" w:rsidRDefault="00BC5F36" w:rsidP="00BC5F36">
            <w:pPr>
              <w:rPr>
                <w:rFonts w:ascii="Arial" w:eastAsia="Times New Roman" w:hAnsi="Arial" w:cs="Arial"/>
                <w:color w:val="1F1F1F"/>
                <w:kern w:val="0"/>
                <w:lang w:eastAsia="en-GB"/>
                <w14:ligatures w14:val="none"/>
              </w:rPr>
            </w:pPr>
          </w:p>
        </w:tc>
      </w:tr>
    </w:tbl>
    <w:p w14:paraId="4B05B6D9" w14:textId="77777777" w:rsidR="00AE3C38" w:rsidRDefault="00AE3C38"/>
    <w:sectPr w:rsidR="00AE3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A9C"/>
    <w:multiLevelType w:val="multilevel"/>
    <w:tmpl w:val="843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4521C"/>
    <w:multiLevelType w:val="multilevel"/>
    <w:tmpl w:val="81E0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D1222"/>
    <w:multiLevelType w:val="multilevel"/>
    <w:tmpl w:val="A57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56981"/>
    <w:multiLevelType w:val="multilevel"/>
    <w:tmpl w:val="6CF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92F21"/>
    <w:multiLevelType w:val="multilevel"/>
    <w:tmpl w:val="8E9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F39CB"/>
    <w:multiLevelType w:val="multilevel"/>
    <w:tmpl w:val="B068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5634F"/>
    <w:multiLevelType w:val="multilevel"/>
    <w:tmpl w:val="2B5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66FAD"/>
    <w:multiLevelType w:val="multilevel"/>
    <w:tmpl w:val="FEE4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17EE6"/>
    <w:multiLevelType w:val="multilevel"/>
    <w:tmpl w:val="225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71B99"/>
    <w:multiLevelType w:val="multilevel"/>
    <w:tmpl w:val="D60E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17FDC"/>
    <w:multiLevelType w:val="multilevel"/>
    <w:tmpl w:val="0508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B4EBD"/>
    <w:multiLevelType w:val="multilevel"/>
    <w:tmpl w:val="D9E4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80524"/>
    <w:multiLevelType w:val="multilevel"/>
    <w:tmpl w:val="BBE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45542"/>
    <w:multiLevelType w:val="multilevel"/>
    <w:tmpl w:val="14D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196410">
    <w:abstractNumId w:val="0"/>
  </w:num>
  <w:num w:numId="2" w16cid:durableId="657420398">
    <w:abstractNumId w:val="7"/>
  </w:num>
  <w:num w:numId="3" w16cid:durableId="688677455">
    <w:abstractNumId w:val="13"/>
  </w:num>
  <w:num w:numId="4" w16cid:durableId="2076733061">
    <w:abstractNumId w:val="6"/>
  </w:num>
  <w:num w:numId="5" w16cid:durableId="2109544322">
    <w:abstractNumId w:val="3"/>
  </w:num>
  <w:num w:numId="6" w16cid:durableId="1001856933">
    <w:abstractNumId w:val="1"/>
  </w:num>
  <w:num w:numId="7" w16cid:durableId="1300961591">
    <w:abstractNumId w:val="4"/>
  </w:num>
  <w:num w:numId="8" w16cid:durableId="629937925">
    <w:abstractNumId w:val="2"/>
  </w:num>
  <w:num w:numId="9" w16cid:durableId="683363058">
    <w:abstractNumId w:val="9"/>
  </w:num>
  <w:num w:numId="10" w16cid:durableId="1779983252">
    <w:abstractNumId w:val="8"/>
  </w:num>
  <w:num w:numId="11" w16cid:durableId="1830905435">
    <w:abstractNumId w:val="10"/>
  </w:num>
  <w:num w:numId="12" w16cid:durableId="1164131588">
    <w:abstractNumId w:val="11"/>
  </w:num>
  <w:num w:numId="13" w16cid:durableId="8217548">
    <w:abstractNumId w:val="12"/>
  </w:num>
  <w:num w:numId="14" w16cid:durableId="1016082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36"/>
    <w:rsid w:val="001A4867"/>
    <w:rsid w:val="007969B2"/>
    <w:rsid w:val="0082423E"/>
    <w:rsid w:val="00AE3C38"/>
    <w:rsid w:val="00BC5F36"/>
    <w:rsid w:val="00F04769"/>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86A7C6F"/>
  <w15:chartTrackingRefBased/>
  <w15:docId w15:val="{B3D3F439-5F89-BC41-9823-6D8E11F3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5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F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F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F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F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5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F36"/>
    <w:rPr>
      <w:rFonts w:eastAsiaTheme="majorEastAsia" w:cstheme="majorBidi"/>
      <w:color w:val="272727" w:themeColor="text1" w:themeTint="D8"/>
    </w:rPr>
  </w:style>
  <w:style w:type="paragraph" w:styleId="Title">
    <w:name w:val="Title"/>
    <w:basedOn w:val="Normal"/>
    <w:next w:val="Normal"/>
    <w:link w:val="TitleChar"/>
    <w:uiPriority w:val="10"/>
    <w:qFormat/>
    <w:rsid w:val="00BC5F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F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F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F36"/>
    <w:rPr>
      <w:i/>
      <w:iCs/>
      <w:color w:val="404040" w:themeColor="text1" w:themeTint="BF"/>
    </w:rPr>
  </w:style>
  <w:style w:type="paragraph" w:styleId="ListParagraph">
    <w:name w:val="List Paragraph"/>
    <w:basedOn w:val="Normal"/>
    <w:uiPriority w:val="34"/>
    <w:qFormat/>
    <w:rsid w:val="00BC5F36"/>
    <w:pPr>
      <w:ind w:left="720"/>
      <w:contextualSpacing/>
    </w:pPr>
  </w:style>
  <w:style w:type="character" w:styleId="IntenseEmphasis">
    <w:name w:val="Intense Emphasis"/>
    <w:basedOn w:val="DefaultParagraphFont"/>
    <w:uiPriority w:val="21"/>
    <w:qFormat/>
    <w:rsid w:val="00BC5F36"/>
    <w:rPr>
      <w:i/>
      <w:iCs/>
      <w:color w:val="0F4761" w:themeColor="accent1" w:themeShade="BF"/>
    </w:rPr>
  </w:style>
  <w:style w:type="paragraph" w:styleId="IntenseQuote">
    <w:name w:val="Intense Quote"/>
    <w:basedOn w:val="Normal"/>
    <w:next w:val="Normal"/>
    <w:link w:val="IntenseQuoteChar"/>
    <w:uiPriority w:val="30"/>
    <w:qFormat/>
    <w:rsid w:val="00BC5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F36"/>
    <w:rPr>
      <w:i/>
      <w:iCs/>
      <w:color w:val="0F4761" w:themeColor="accent1" w:themeShade="BF"/>
    </w:rPr>
  </w:style>
  <w:style w:type="character" w:styleId="IntenseReference">
    <w:name w:val="Intense Reference"/>
    <w:basedOn w:val="DefaultParagraphFont"/>
    <w:uiPriority w:val="32"/>
    <w:qFormat/>
    <w:rsid w:val="00BC5F36"/>
    <w:rPr>
      <w:b/>
      <w:bCs/>
      <w:smallCaps/>
      <w:color w:val="0F4761" w:themeColor="accent1" w:themeShade="BF"/>
      <w:spacing w:val="5"/>
    </w:rPr>
  </w:style>
  <w:style w:type="paragraph" w:styleId="NormalWeb">
    <w:name w:val="Normal (Web)"/>
    <w:basedOn w:val="Normal"/>
    <w:uiPriority w:val="99"/>
    <w:semiHidden/>
    <w:unhideWhenUsed/>
    <w:rsid w:val="00BC5F3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5F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573FA5145744E9D7065A8779C8B0D" ma:contentTypeVersion="7" ma:contentTypeDescription="Create a new document." ma:contentTypeScope="" ma:versionID="f0248e86655d1bea78b552fc32a3aa30">
  <xsd:schema xmlns:xsd="http://www.w3.org/2001/XMLSchema" xmlns:xs="http://www.w3.org/2001/XMLSchema" xmlns:p="http://schemas.microsoft.com/office/2006/metadata/properties" xmlns:ns2="3c980424-a818-412c-bb13-52882ce3fa1b" targetNamespace="http://schemas.microsoft.com/office/2006/metadata/properties" ma:root="true" ma:fieldsID="c92ddd723fd8c3e8423c599db5f0096d" ns2:_="">
    <xsd:import namespace="3c980424-a818-412c-bb13-52882ce3fa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80424-a818-412c-bb13-52882ce3f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ACCB08-ED51-44B7-B5DF-BB903E4C0E79}"/>
</file>

<file path=customXml/itemProps2.xml><?xml version="1.0" encoding="utf-8"?>
<ds:datastoreItem xmlns:ds="http://schemas.openxmlformats.org/officeDocument/2006/customXml" ds:itemID="{0F744198-8105-4844-9D0C-B8752494C3B0}"/>
</file>

<file path=customXml/itemProps3.xml><?xml version="1.0" encoding="utf-8"?>
<ds:datastoreItem xmlns:ds="http://schemas.openxmlformats.org/officeDocument/2006/customXml" ds:itemID="{A5A8B277-2294-45E5-BBFE-3B5FA8B1B979}"/>
</file>

<file path=docProps/app.xml><?xml version="1.0" encoding="utf-8"?>
<Properties xmlns="http://schemas.openxmlformats.org/officeDocument/2006/extended-properties" xmlns:vt="http://schemas.openxmlformats.org/officeDocument/2006/docPropsVTypes">
  <Template>Normal.dotm</Template>
  <TotalTime>0</TotalTime>
  <Pages>11</Pages>
  <Words>4869</Words>
  <Characters>28636</Characters>
  <Application>Microsoft Office Word</Application>
  <DocSecurity>0</DocSecurity>
  <Lines>415</Lines>
  <Paragraphs>170</Paragraphs>
  <ScaleCrop>false</ScaleCrop>
  <Company/>
  <LinksUpToDate>false</LinksUpToDate>
  <CharactersWithSpaces>33335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Sieber, Sandra</dc:creator>
  <cp:keywords/>
  <dc:description/>
  <cp:lastModifiedBy>Sieber, Sandra</cp:lastModifiedBy>
  <cp:revision>2</cp:revision>
  <dcterms:created xsi:type="dcterms:W3CDTF">2026-02-09T16:02:00Z</dcterms:created>
  <dcterms:modified xsi:type="dcterms:W3CDTF">2026-02-16T11:42:00Z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0x010100E2F573FA5145744E9D7065A8779C8B0D</vt:lpwstr>
  </property>
</Properties>
</file>