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DAB0551" wp14:textId="77777777">
      <w:pPr>
        <w:spacing w:after="40"/>
      </w:pPr>
      <w:r w:rsidRPr="1B022502" w:rsidR="1B022502">
        <w:rPr>
          <w:rFonts w:ascii="Arial" w:hAnsi="Arial" w:eastAsia="Arial" w:cs="Arial"/>
          <w:b w:val="1"/>
          <w:bCs w:val="1"/>
          <w:color w:val="12284C"/>
          <w:sz w:val="40"/>
          <w:szCs w:val="40"/>
          <w:lang w:val="en-US"/>
        </w:rPr>
        <w:t>ConnexR Website</w:t>
      </w:r>
    </w:p>
    <w:p xmlns:wp14="http://schemas.microsoft.com/office/word/2010/wordml" w14:paraId="1EF8C803" wp14:textId="77777777">
      <w:pPr>
        <w:spacing w:after="120"/>
      </w:pPr>
      <w:r>
        <w:rPr>
          <w:rFonts w:ascii="Arial" w:hAnsi="Arial" w:eastAsia="Arial" w:cs="Arial"/>
          <w:color w:val="E8772E"/>
          <w:sz w:val="26"/>
          <w:szCs w:val="26"/>
        </w:rPr>
        <w:t xml:space="preserve">Home Page Content</w:t>
      </w:r>
    </w:p>
    <w:p xmlns:wp14="http://schemas.microsoft.com/office/word/2010/wordml" w14:paraId="275AFC9A" wp14:textId="77777777">
      <w:pPr>
        <w:pStyle w:val="Heading1"/>
        <w:pBdr>
          <w:bottom w:val="single" w:color="E8772E" w:sz="12" w:space="4"/>
        </w:pBdr>
        <w:spacing w:before="360" w:after="120"/>
      </w:pPr>
      <w:r>
        <w:rPr>
          <w:rFonts w:ascii="Arial" w:hAnsi="Arial" w:eastAsia="Arial" w:cs="Arial"/>
          <w:b/>
          <w:bCs/>
          <w:color w:val="12284C"/>
          <w:sz w:val="30"/>
          <w:szCs w:val="30"/>
        </w:rPr>
        <w:t xml:space="preserve">1. Hero</w:t>
      </w:r>
    </w:p>
    <w:p xmlns:wp14="http://schemas.microsoft.com/office/word/2010/wordml" w14:paraId="393DBACF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Headline (H1)</w:t>
      </w:r>
    </w:p>
    <w:p xmlns:wp14="http://schemas.microsoft.com/office/word/2010/wordml" w14:paraId="73BC5A08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Custom Enterprise AI Solutions, Built Around Your Business</w:t>
      </w:r>
    </w:p>
    <w:p xmlns:wp14="http://schemas.microsoft.com/office/word/2010/wordml" w14:paraId="208FF876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Subhead</w:t>
      </w:r>
    </w:p>
    <w:p xmlns:wp14="http://schemas.microsoft.com/office/word/2010/wordml" w14:paraId="7E120315" wp14:textId="77777777">
      <w:pPr>
        <w:spacing w:after="60"/>
      </w:pPr>
      <w:r w:rsidRPr="1B022502" w:rsidR="1B022502">
        <w:rPr>
          <w:rFonts w:ascii="Arial" w:hAnsi="Arial" w:eastAsia="Arial" w:cs="Arial"/>
          <w:color w:val="222222"/>
          <w:sz w:val="22"/>
          <w:szCs w:val="22"/>
          <w:lang w:val="en-US"/>
        </w:rPr>
        <w:t>From strategy to live operations, ConnexR has the expertise to build intelligent systems that perform and prove their place in the business.</w:t>
      </w:r>
    </w:p>
    <w:p xmlns:wp14="http://schemas.microsoft.com/office/word/2010/wordml" w14:paraId="11B79713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Primary CTA</w:t>
      </w:r>
    </w:p>
    <w:p xmlns:wp14="http://schemas.microsoft.com/office/word/2010/wordml" w14:paraId="67CC89FD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Start with an Assessment</w:t>
      </w:r>
    </w:p>
    <w:p xmlns:wp14="http://schemas.microsoft.com/office/word/2010/wordml" w14:paraId="77A2A013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Secondary CTA</w:t>
      </w:r>
    </w:p>
    <w:p xmlns:wp14="http://schemas.microsoft.com/office/word/2010/wordml" w14:paraId="7D3A1D62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Explore What We Build</w:t>
      </w:r>
    </w:p>
    <w:p xmlns:wp14="http://schemas.microsoft.com/office/word/2010/wordml" w14:paraId="69748679" wp14:textId="77777777">
      <w:pPr>
        <w:pStyle w:val="Heading1"/>
        <w:pBdr>
          <w:bottom w:val="single" w:color="E8772E" w:sz="12" w:space="4"/>
        </w:pBdr>
        <w:spacing w:before="360" w:after="120"/>
      </w:pPr>
      <w:r>
        <w:rPr>
          <w:rFonts w:ascii="Arial" w:hAnsi="Arial" w:eastAsia="Arial" w:cs="Arial"/>
          <w:b/>
          <w:bCs/>
          <w:color w:val="12284C"/>
          <w:sz w:val="30"/>
          <w:szCs w:val="30"/>
        </w:rPr>
        <w:t xml:space="preserve">2. Proven Outcomes</w:t>
      </w:r>
    </w:p>
    <w:p xmlns:wp14="http://schemas.microsoft.com/office/word/2010/wordml" w14:paraId="68A2E2C1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Headline (H2)</w:t>
      </w:r>
    </w:p>
    <w:p xmlns:wp14="http://schemas.microsoft.com/office/word/2010/wordml" w14:paraId="06D343AF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Proven Outcomes</w:t>
      </w:r>
    </w:p>
    <w:p xmlns:wp14="http://schemas.microsoft.com/office/word/2010/wordml" w14:paraId="22D88DA1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Three stats</w:t>
      </w:r>
    </w:p>
    <w:p xmlns:wp14="http://schemas.microsoft.com/office/word/2010/wordml" w14:paraId="0CA01FB4" wp14:textId="77777777">
      <w:pPr>
        <w:spacing w:before="200" w:after="0"/>
      </w:pPr>
      <w:r>
        <w:rPr>
          <w:rFonts w:ascii="Arial" w:hAnsi="Arial" w:eastAsia="Arial" w:cs="Arial"/>
          <w:b/>
          <w:bCs/>
          <w:color w:val="E8772E"/>
          <w:sz w:val="40"/>
          <w:szCs w:val="40"/>
        </w:rPr>
        <w:t xml:space="preserve">Up to 95%</w:t>
      </w:r>
    </w:p>
    <w:p xmlns:wp14="http://schemas.microsoft.com/office/word/2010/wordml" w14:paraId="12E37C45" wp14:textId="77777777">
      <w:pPr>
        <w:spacing w:after="40"/>
      </w:pPr>
      <w:r>
        <w:rPr>
          <w:rFonts w:ascii="Arial" w:hAnsi="Arial" w:eastAsia="Arial" w:cs="Arial"/>
          <w:b/>
          <w:bCs/>
          <w:color w:val="12284C"/>
          <w:sz w:val="24"/>
          <w:szCs w:val="24"/>
        </w:rPr>
        <w:t xml:space="preserve">Efficiency Gained</w:t>
      </w:r>
    </w:p>
    <w:p xmlns:wp14="http://schemas.microsoft.com/office/word/2010/wordml" w14:paraId="7233A8AF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In the workflows we automate, we strip out the bulk of manual effort, turning slow, repetitive processes into measurable, AI-driven gains across healthcare, finance, and beyond.</w:t>
      </w:r>
    </w:p>
    <w:p xmlns:wp14="http://schemas.microsoft.com/office/word/2010/wordml" w14:paraId="16BB7876" wp14:textId="77777777">
      <w:pPr>
        <w:spacing w:before="200" w:after="0"/>
      </w:pPr>
      <w:r>
        <w:rPr>
          <w:rFonts w:ascii="Arial" w:hAnsi="Arial" w:eastAsia="Arial" w:cs="Arial"/>
          <w:b/>
          <w:bCs/>
          <w:color w:val="E8772E"/>
          <w:sz w:val="40"/>
          <w:szCs w:val="40"/>
        </w:rPr>
        <w:t xml:space="preserve">3x</w:t>
      </w:r>
    </w:p>
    <w:p xmlns:wp14="http://schemas.microsoft.com/office/word/2010/wordml" w14:paraId="4FD9762A" wp14:textId="77777777">
      <w:pPr>
        <w:spacing w:after="40"/>
      </w:pPr>
      <w:r>
        <w:rPr>
          <w:rFonts w:ascii="Arial" w:hAnsi="Arial" w:eastAsia="Arial" w:cs="Arial"/>
          <w:b/>
          <w:bCs/>
          <w:color w:val="12284C"/>
          <w:sz w:val="24"/>
          <w:szCs w:val="24"/>
        </w:rPr>
        <w:t xml:space="preserve">Average ROI</w:t>
      </w:r>
    </w:p>
    <w:p xmlns:wp14="http://schemas.microsoft.com/office/word/2010/wordml" w14:paraId="2801D797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We hold every engagement to a target return and track it: revenue gained, cost removed, hours saved. The systems we build are designed to pay back several times what they cost.</w:t>
      </w:r>
    </w:p>
    <w:p xmlns:wp14="http://schemas.microsoft.com/office/word/2010/wordml" w14:paraId="78941E47" wp14:textId="77777777">
      <w:pPr>
        <w:spacing w:before="200" w:after="0"/>
      </w:pPr>
      <w:r>
        <w:rPr>
          <w:rFonts w:ascii="Arial" w:hAnsi="Arial" w:eastAsia="Arial" w:cs="Arial"/>
          <w:b/>
          <w:bCs/>
          <w:color w:val="E8772E"/>
          <w:sz w:val="40"/>
          <w:szCs w:val="40"/>
        </w:rPr>
        <w:t xml:space="preserve">5</w:t>
      </w:r>
    </w:p>
    <w:p xmlns:wp14="http://schemas.microsoft.com/office/word/2010/wordml" w14:paraId="1D580B0A" wp14:textId="77777777">
      <w:pPr>
        <w:spacing w:after="40"/>
      </w:pPr>
      <w:r>
        <w:rPr>
          <w:rFonts w:ascii="Arial" w:hAnsi="Arial" w:eastAsia="Arial" w:cs="Arial"/>
          <w:b/>
          <w:bCs/>
          <w:color w:val="12284C"/>
          <w:sz w:val="24"/>
          <w:szCs w:val="24"/>
        </w:rPr>
        <w:t xml:space="preserve">Step Delivery Model</w:t>
      </w:r>
    </w:p>
    <w:p xmlns:wp14="http://schemas.microsoft.com/office/word/2010/wordml" w14:paraId="189F5EF9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A five-stage model that carries you from first strategy to live operations, with one accountable team throughout: Discovery, Architecture, Build, Deploy, and Optimize.</w:t>
      </w:r>
    </w:p>
    <w:p xmlns:wp14="http://schemas.microsoft.com/office/word/2010/wordml" w14:paraId="6AF6053D" wp14:textId="77777777">
      <w:pPr>
        <w:pStyle w:val="Heading1"/>
        <w:pBdr>
          <w:bottom w:val="single" w:color="E8772E" w:sz="12" w:space="4"/>
        </w:pBdr>
        <w:spacing w:before="360" w:after="120"/>
      </w:pPr>
      <w:r>
        <w:rPr>
          <w:rFonts w:ascii="Arial" w:hAnsi="Arial" w:eastAsia="Arial" w:cs="Arial"/>
          <w:b/>
          <w:bCs/>
          <w:color w:val="12284C"/>
          <w:sz w:val="30"/>
          <w:szCs w:val="30"/>
        </w:rPr>
        <w:t xml:space="preserve">3. Move at the Speed of AI (banner band)</w:t>
      </w:r>
    </w:p>
    <w:p xmlns:wp14="http://schemas.microsoft.com/office/word/2010/wordml" w14:paraId="5DC161D1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Heading</w:t>
      </w:r>
    </w:p>
    <w:p xmlns:wp14="http://schemas.microsoft.com/office/word/2010/wordml" w14:paraId="14D20305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Move at the Speed of AI</w:t>
      </w:r>
    </w:p>
    <w:p xmlns:wp14="http://schemas.microsoft.com/office/word/2010/wordml" w14:paraId="59DEAFE8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Sub-lockup</w:t>
      </w:r>
    </w:p>
    <w:p xmlns:wp14="http://schemas.microsoft.com/office/word/2010/wordml" w14:paraId="55BAD560" wp14:textId="77777777">
      <w:pPr>
        <w:spacing w:after="60"/>
      </w:pPr>
      <w:r w:rsidRPr="1B022502" w:rsidR="1B022502">
        <w:rPr>
          <w:rFonts w:ascii="Arial" w:hAnsi="Arial" w:eastAsia="Arial" w:cs="Arial"/>
          <w:color w:val="222222"/>
          <w:sz w:val="22"/>
          <w:szCs w:val="22"/>
          <w:lang w:val="en-US"/>
        </w:rPr>
        <w:t>with ConnexR</w:t>
      </w:r>
    </w:p>
    <w:p xmlns:wp14="http://schemas.microsoft.com/office/word/2010/wordml" w14:paraId="19395845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Subhead</w:t>
      </w:r>
    </w:p>
    <w:p xmlns:wp14="http://schemas.microsoft.com/office/word/2010/wordml" w14:paraId="2D4FCA89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We help enterprises move faster than their market, turning AI into agility, resilience, and real operational speed, without breaking what already works.</w:t>
      </w:r>
    </w:p>
    <w:p xmlns:wp14="http://schemas.microsoft.com/office/word/2010/wordml" w14:paraId="69CEDAF2" wp14:textId="77777777">
      <w:pPr>
        <w:pStyle w:val="Heading1"/>
        <w:pBdr>
          <w:bottom w:val="single" w:color="E8772E" w:sz="12" w:space="4"/>
        </w:pBdr>
        <w:spacing w:before="360" w:after="120"/>
      </w:pPr>
      <w:r>
        <w:rPr>
          <w:rFonts w:ascii="Arial" w:hAnsi="Arial" w:eastAsia="Arial" w:cs="Arial"/>
          <w:b/>
          <w:bCs/>
          <w:color w:val="12284C"/>
          <w:sz w:val="30"/>
          <w:szCs w:val="30"/>
        </w:rPr>
        <w:t xml:space="preserve">4. What We Deliver</w:t>
      </w:r>
    </w:p>
    <w:p xmlns:wp14="http://schemas.microsoft.com/office/word/2010/wordml" w14:paraId="2B83842F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Eyebrow</w:t>
      </w:r>
    </w:p>
    <w:p xmlns:wp14="http://schemas.microsoft.com/office/word/2010/wordml" w14:paraId="5E7199F9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WHAT WE DELIVER</w:t>
      </w:r>
    </w:p>
    <w:p xmlns:wp14="http://schemas.microsoft.com/office/word/2010/wordml" w14:paraId="2CCBD426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Heading</w:t>
      </w:r>
    </w:p>
    <w:p xmlns:wp14="http://schemas.microsoft.com/office/word/2010/wordml" w14:paraId="1833E763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All of IT. All of Intelligence.</w:t>
      </w:r>
    </w:p>
    <w:p xmlns:wp14="http://schemas.microsoft.com/office/word/2010/wordml" w14:paraId="5B0E71A0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Services</w:t>
      </w:r>
    </w:p>
    <w:p xmlns:wp14="http://schemas.microsoft.com/office/word/2010/wordml" w14:paraId="5B4507BE" wp14:textId="77777777">
      <w:pPr>
        <w:spacing w:before="200" w:after="20"/>
      </w:pPr>
      <w:r>
        <w:rPr>
          <w:rFonts w:ascii="Arial" w:hAnsi="Arial" w:eastAsia="Arial" w:cs="Arial"/>
          <w:b/>
          <w:bCs/>
          <w:color w:val="E8772E"/>
          <w:sz w:val="18"/>
          <w:szCs w:val="18"/>
        </w:rPr>
        <w:t xml:space="preserve">01</w:t>
      </w:r>
    </w:p>
    <w:p xmlns:wp14="http://schemas.microsoft.com/office/word/2010/wordml" w14:paraId="3BFB04A7" wp14:textId="77777777">
      <w:pPr>
        <w:spacing w:after="40"/>
      </w:pPr>
      <w:r>
        <w:rPr>
          <w:rFonts w:ascii="Arial" w:hAnsi="Arial" w:eastAsia="Arial" w:cs="Arial"/>
          <w:b/>
          <w:bCs/>
          <w:color w:val="12284C"/>
          <w:sz w:val="24"/>
          <w:szCs w:val="24"/>
        </w:rPr>
        <w:t xml:space="preserve">Custom AI Solutions</w:t>
      </w:r>
    </w:p>
    <w:p xmlns:wp14="http://schemas.microsoft.com/office/word/2010/wordml" w14:paraId="11748959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From ideation to enterprise-scale deployment, we design custom AI systems around your workflows, data, and operational needs. Every model and automation is purpose-built, with no off-the-shelf compromises.</w:t>
      </w:r>
    </w:p>
    <w:p xmlns:wp14="http://schemas.microsoft.com/office/word/2010/wordml" w14:paraId="385FFFD4" wp14:textId="77777777">
      <w:pPr>
        <w:spacing w:before="200" w:after="20"/>
      </w:pPr>
      <w:r>
        <w:rPr>
          <w:rFonts w:ascii="Arial" w:hAnsi="Arial" w:eastAsia="Arial" w:cs="Arial"/>
          <w:b/>
          <w:bCs/>
          <w:color w:val="E8772E"/>
          <w:sz w:val="18"/>
          <w:szCs w:val="18"/>
        </w:rPr>
        <w:t xml:space="preserve">02</w:t>
      </w:r>
    </w:p>
    <w:p xmlns:wp14="http://schemas.microsoft.com/office/word/2010/wordml" w14:paraId="3DF6D8DD" wp14:textId="77777777">
      <w:pPr>
        <w:spacing w:after="40"/>
      </w:pPr>
      <w:r>
        <w:rPr>
          <w:rFonts w:ascii="Arial" w:hAnsi="Arial" w:eastAsia="Arial" w:cs="Arial"/>
          <w:b/>
          <w:bCs/>
          <w:color w:val="12284C"/>
          <w:sz w:val="24"/>
          <w:szCs w:val="24"/>
        </w:rPr>
        <w:t xml:space="preserve">AIOps &amp; IT Ops</w:t>
      </w:r>
    </w:p>
    <w:p xmlns:wp14="http://schemas.microsoft.com/office/word/2010/wordml" w14:paraId="7E51C3C8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We replace reactive support with AI-driven IT operations, delivering predictive insights, self-healing infrastructure, and the reliability of 99.99% uptime across your environment.</w:t>
      </w:r>
    </w:p>
    <w:p xmlns:wp14="http://schemas.microsoft.com/office/word/2010/wordml" w14:paraId="2953FD37" wp14:textId="77777777">
      <w:pPr>
        <w:spacing w:before="200" w:after="20"/>
      </w:pPr>
      <w:r>
        <w:rPr>
          <w:rFonts w:ascii="Arial" w:hAnsi="Arial" w:eastAsia="Arial" w:cs="Arial"/>
          <w:b/>
          <w:bCs/>
          <w:color w:val="E8772E"/>
          <w:sz w:val="18"/>
          <w:szCs w:val="18"/>
        </w:rPr>
        <w:t xml:space="preserve">03</w:t>
      </w:r>
    </w:p>
    <w:p xmlns:wp14="http://schemas.microsoft.com/office/word/2010/wordml" w14:paraId="6E9AB470" wp14:textId="77777777">
      <w:pPr>
        <w:spacing w:after="40"/>
      </w:pPr>
      <w:r>
        <w:rPr>
          <w:rFonts w:ascii="Arial" w:hAnsi="Arial" w:eastAsia="Arial" w:cs="Arial"/>
          <w:b/>
          <w:bCs/>
          <w:color w:val="12284C"/>
          <w:sz w:val="24"/>
          <w:szCs w:val="24"/>
        </w:rPr>
        <w:t xml:space="preserve">Digital &amp; AI Transformation</w:t>
      </w:r>
    </w:p>
    <w:p xmlns:wp14="http://schemas.microsoft.com/office/word/2010/wordml" w14:paraId="4FAA9E39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We modernize the core of your business, from enterprise CMS and DXP platforms like Sitecore to legacy systems, and embed AI across them, turning fragmented technology into one connected, intelligent estate.</w:t>
      </w:r>
    </w:p>
    <w:p xmlns:wp14="http://schemas.microsoft.com/office/word/2010/wordml" w14:paraId="5464B667" wp14:textId="77777777">
      <w:pPr>
        <w:spacing w:before="200" w:after="20"/>
      </w:pPr>
      <w:r>
        <w:rPr>
          <w:rFonts w:ascii="Arial" w:hAnsi="Arial" w:eastAsia="Arial" w:cs="Arial"/>
          <w:b/>
          <w:bCs/>
          <w:color w:val="E8772E"/>
          <w:sz w:val="18"/>
          <w:szCs w:val="18"/>
        </w:rPr>
        <w:t xml:space="preserve">04</w:t>
      </w:r>
    </w:p>
    <w:p xmlns:wp14="http://schemas.microsoft.com/office/word/2010/wordml" w14:paraId="4BF63DF7" wp14:textId="77777777">
      <w:pPr>
        <w:spacing w:after="40"/>
      </w:pPr>
      <w:r>
        <w:rPr>
          <w:rFonts w:ascii="Arial" w:hAnsi="Arial" w:eastAsia="Arial" w:cs="Arial"/>
          <w:b/>
          <w:bCs/>
          <w:color w:val="12284C"/>
          <w:sz w:val="24"/>
          <w:szCs w:val="24"/>
        </w:rPr>
        <w:t xml:space="preserve">Cloud &amp; AI Infrastructure</w:t>
      </w:r>
    </w:p>
    <w:p xmlns:wp14="http://schemas.microsoft.com/office/word/2010/wordml" w14:paraId="352D0E7A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We architect resilient, cloud-native foundations across AWS, Azure, and GCP, delivering the performance, security, and scale that modern enterprise workloads demand.</w:t>
      </w:r>
    </w:p>
    <w:p xmlns:wp14="http://schemas.microsoft.com/office/word/2010/wordml" w14:paraId="1569879C" wp14:textId="77777777">
      <w:pPr>
        <w:spacing w:before="200" w:after="20"/>
      </w:pPr>
      <w:r>
        <w:rPr>
          <w:rFonts w:ascii="Arial" w:hAnsi="Arial" w:eastAsia="Arial" w:cs="Arial"/>
          <w:b/>
          <w:bCs/>
          <w:color w:val="E8772E"/>
          <w:sz w:val="18"/>
          <w:szCs w:val="18"/>
        </w:rPr>
        <w:t xml:space="preserve">05</w:t>
      </w:r>
    </w:p>
    <w:p xmlns:wp14="http://schemas.microsoft.com/office/word/2010/wordml" w14:paraId="56061EBD" wp14:textId="77777777">
      <w:pPr>
        <w:spacing w:after="40"/>
      </w:pPr>
      <w:r>
        <w:rPr>
          <w:rFonts w:ascii="Arial" w:hAnsi="Arial" w:eastAsia="Arial" w:cs="Arial"/>
          <w:b/>
          <w:bCs/>
          <w:color w:val="12284C"/>
          <w:sz w:val="24"/>
          <w:szCs w:val="24"/>
        </w:rPr>
        <w:t xml:space="preserve">Enterprise Intelligence</w:t>
      </w:r>
    </w:p>
    <w:p xmlns:wp14="http://schemas.microsoft.com/office/word/2010/wordml" w14:paraId="60686C33" wp14:textId="77777777">
      <w:pPr>
        <w:spacing w:after="60"/>
      </w:pPr>
      <w:r w:rsidRPr="1B022502" w:rsidR="1B022502">
        <w:rPr>
          <w:rFonts w:ascii="Arial" w:hAnsi="Arial" w:eastAsia="Arial" w:cs="Arial"/>
          <w:color w:val="222222"/>
          <w:sz w:val="22"/>
          <w:szCs w:val="22"/>
          <w:lang w:val="en-US"/>
        </w:rPr>
        <w:t>We turn scattered data into decisions, building the analytics, automation, and cognitive systems that give leaders a single, real-time view of how the business is performing.</w:t>
      </w:r>
    </w:p>
    <w:p xmlns:wp14="http://schemas.microsoft.com/office/word/2010/wordml" w14:paraId="0C0E7249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CTA (per card)</w:t>
      </w:r>
    </w:p>
    <w:p xmlns:wp14="http://schemas.microsoft.com/office/word/2010/wordml" w14:paraId="4E16AA27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Learn More</w:t>
      </w:r>
    </w:p>
    <w:p xmlns:wp14="http://schemas.microsoft.com/office/word/2010/wordml" w14:paraId="0F50C1B1" wp14:textId="77777777">
      <w:pPr>
        <w:pStyle w:val="Heading1"/>
        <w:pBdr>
          <w:bottom w:val="single" w:color="E8772E" w:sz="12" w:space="4"/>
        </w:pBdr>
        <w:spacing w:before="360" w:after="120"/>
      </w:pPr>
      <w:r>
        <w:rPr>
          <w:rFonts w:ascii="Arial" w:hAnsi="Arial" w:eastAsia="Arial" w:cs="Arial"/>
          <w:b/>
          <w:bCs/>
          <w:color w:val="12284C"/>
          <w:sz w:val="30"/>
          <w:szCs w:val="30"/>
        </w:rPr>
        <w:t xml:space="preserve">5. Where We Serve</w:t>
      </w:r>
    </w:p>
    <w:p xmlns:wp14="http://schemas.microsoft.com/office/word/2010/wordml" w14:paraId="0D6291BF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Heading</w:t>
      </w:r>
    </w:p>
    <w:p xmlns:wp14="http://schemas.microsoft.com/office/word/2010/wordml" w14:paraId="5F1606B8" wp14:textId="77777777">
      <w:pPr>
        <w:spacing w:after="60"/>
      </w:pPr>
      <w:r w:rsidRPr="1B022502" w:rsidR="1B022502">
        <w:rPr>
          <w:rFonts w:ascii="Arial" w:hAnsi="Arial" w:eastAsia="Arial" w:cs="Arial"/>
          <w:color w:val="222222"/>
          <w:sz w:val="22"/>
          <w:szCs w:val="22"/>
          <w:lang w:val="en-US"/>
        </w:rPr>
        <w:t>Expertise Across Industries</w:t>
      </w:r>
    </w:p>
    <w:p xmlns:wp14="http://schemas.microsoft.com/office/word/2010/wordml" w14:paraId="28E8C058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Intro</w:t>
      </w:r>
    </w:p>
    <w:p xmlns:wp14="http://schemas.microsoft.com/office/word/2010/wordml" w14:paraId="1B91EB8C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Deep sector knowledge across nine industries, from healthcare and finance to manufacturing and IT operations, applied to the problems that matter most in each.</w:t>
      </w:r>
    </w:p>
    <w:p xmlns:wp14="http://schemas.microsoft.com/office/word/2010/wordml" w14:paraId="586D43B1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Link</w:t>
      </w:r>
    </w:p>
    <w:p xmlns:wp14="http://schemas.microsoft.com/office/word/2010/wordml" w14:paraId="6839A15B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View All (to the industries hub)</w:t>
      </w:r>
    </w:p>
    <w:p xmlns:wp14="http://schemas.microsoft.com/office/word/2010/wordml" w14:paraId="463EB19A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Industries (carousel cards: icon + name + arrow link to the industry page)</w:t>
      </w:r>
    </w:p>
    <w:p xmlns:wp14="http://schemas.microsoft.com/office/word/2010/wordml" w14:paraId="76DBE5A7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Healthcare</w:t>
      </w:r>
    </w:p>
    <w:p xmlns:wp14="http://schemas.microsoft.com/office/word/2010/wordml" w14:paraId="05CD4328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FinTech</w:t>
      </w:r>
    </w:p>
    <w:p xmlns:wp14="http://schemas.microsoft.com/office/word/2010/wordml" w14:paraId="73C80C23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EdTech</w:t>
      </w:r>
    </w:p>
    <w:p xmlns:wp14="http://schemas.microsoft.com/office/word/2010/wordml" w14:paraId="4D086158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Transportation &amp; Airlines</w:t>
      </w:r>
    </w:p>
    <w:p xmlns:wp14="http://schemas.microsoft.com/office/word/2010/wordml" w14:paraId="53A64365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Insurance</w:t>
      </w:r>
    </w:p>
    <w:p xmlns:wp14="http://schemas.microsoft.com/office/word/2010/wordml" w14:paraId="2351AFE5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Retail &amp; E-Commerce</w:t>
      </w:r>
    </w:p>
    <w:p xmlns:wp14="http://schemas.microsoft.com/office/word/2010/wordml" w14:paraId="18E91DF6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Tech &amp; Software</w:t>
      </w:r>
    </w:p>
    <w:p xmlns:wp14="http://schemas.microsoft.com/office/word/2010/wordml" w14:paraId="4D1AE0EE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Manufacturing</w:t>
      </w:r>
    </w:p>
    <w:p xmlns:wp14="http://schemas.microsoft.com/office/word/2010/wordml" w14:paraId="6AAC6A8F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AIOps &amp; IT Ops</w:t>
      </w:r>
    </w:p>
    <w:p xmlns:wp14="http://schemas.microsoft.com/office/word/2010/wordml" w:rsidP="1B022502" w14:paraId="7D10C9B1" wp14:textId="77777777">
      <w:pPr>
        <w:pStyle w:val="Heading1"/>
        <w:pBdr>
          <w:bottom w:val="single" w:color="E8772E" w:sz="12" w:space="4"/>
        </w:pBdr>
        <w:spacing w:before="360" w:after="120"/>
      </w:pPr>
      <w:r w:rsidRPr="1B022502" w:rsidR="1B022502">
        <w:rPr>
          <w:rFonts w:ascii="Arial" w:hAnsi="Arial" w:eastAsia="Arial" w:cs="Arial"/>
          <w:b w:val="1"/>
          <w:bCs w:val="1"/>
          <w:color w:val="12284C"/>
          <w:sz w:val="30"/>
          <w:szCs w:val="30"/>
          <w:lang w:val="en-US"/>
        </w:rPr>
        <w:t>6. ConnexR Insights</w:t>
      </w:r>
    </w:p>
    <w:p xmlns:wp14="http://schemas.microsoft.com/office/word/2010/wordml" w14:paraId="4F185163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Eyebrow</w:t>
      </w:r>
    </w:p>
    <w:p xmlns:wp14="http://schemas.microsoft.com/office/word/2010/wordml" w14:paraId="4C4D2C55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CONNEXR INSIGHTS</w:t>
      </w:r>
    </w:p>
    <w:p xmlns:wp14="http://schemas.microsoft.com/office/word/2010/wordml" w14:paraId="0E7679E2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Heading</w:t>
      </w:r>
    </w:p>
    <w:p xmlns:wp14="http://schemas.microsoft.com/office/word/2010/wordml" w14:paraId="531DD14C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Latest Thinking</w:t>
      </w:r>
    </w:p>
    <w:p xmlns:wp14="http://schemas.microsoft.com/office/word/2010/wordml" w14:paraId="7AAA0CC9" wp14:textId="77777777">
      <w:pPr>
        <w:pStyle w:val="Heading1"/>
        <w:pBdr>
          <w:bottom w:val="single" w:color="E8772E" w:sz="12" w:space="4"/>
        </w:pBdr>
        <w:spacing w:before="360" w:after="120"/>
      </w:pPr>
      <w:r>
        <w:rPr>
          <w:rFonts w:ascii="Arial" w:hAnsi="Arial" w:eastAsia="Arial" w:cs="Arial"/>
          <w:b/>
          <w:bCs/>
          <w:color w:val="12284C"/>
          <w:sz w:val="30"/>
          <w:szCs w:val="30"/>
        </w:rPr>
        <w:t xml:space="preserve">7. Our Products</w:t>
      </w:r>
    </w:p>
    <w:p xmlns:wp14="http://schemas.microsoft.com/office/word/2010/wordml" w14:paraId="6F976883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Eyebrow</w:t>
      </w:r>
    </w:p>
    <w:p xmlns:wp14="http://schemas.microsoft.com/office/word/2010/wordml" w14:paraId="44E54268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OUR PRODUCTS</w:t>
      </w:r>
    </w:p>
    <w:p xmlns:wp14="http://schemas.microsoft.com/office/word/2010/wordml" w14:paraId="6F47E98D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Heading</w:t>
      </w:r>
    </w:p>
    <w:p xmlns:wp14="http://schemas.microsoft.com/office/word/2010/wordml" w14:paraId="51AC3147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What We've Built</w:t>
      </w:r>
    </w:p>
    <w:p xmlns:wp14="http://schemas.microsoft.com/office/word/2010/wordml" w14:paraId="55C7FA94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Intro</w:t>
      </w:r>
    </w:p>
    <w:p xmlns:wp14="http://schemas.microsoft.com/office/word/2010/wordml" w14:paraId="04F52AFB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Proof that we practice what we deliver. These are our own enterprise-grade platforms, built with the same engineering discipline behind every client engagement.</w:t>
      </w:r>
    </w:p>
    <w:p xmlns:wp14="http://schemas.microsoft.com/office/word/2010/wordml" w14:paraId="0A877FAA" wp14:textId="77777777">
      <w:pPr>
        <w:spacing w:before="200" w:after="40"/>
      </w:pPr>
      <w:r>
        <w:rPr>
          <w:rFonts w:ascii="Arial" w:hAnsi="Arial" w:eastAsia="Arial" w:cs="Arial"/>
          <w:b/>
          <w:bCs/>
          <w:color w:val="E8772E"/>
          <w:sz w:val="21"/>
          <w:szCs w:val="21"/>
        </w:rPr>
        <w:t xml:space="preserve">Two products</w:t>
      </w:r>
    </w:p>
    <w:p xmlns:wp14="http://schemas.microsoft.com/office/word/2010/wordml" w14:paraId="5B483855" wp14:textId="77777777">
      <w:pPr>
        <w:spacing w:before="200" w:after="20"/>
      </w:pPr>
      <w:r w:rsidRPr="1B022502" w:rsidR="1B022502">
        <w:rPr>
          <w:rFonts w:ascii="Arial" w:hAnsi="Arial" w:eastAsia="Arial" w:cs="Arial"/>
          <w:b w:val="1"/>
          <w:bCs w:val="1"/>
          <w:color w:val="E8772E"/>
          <w:sz w:val="18"/>
          <w:szCs w:val="18"/>
          <w:lang w:val="en-US"/>
        </w:rPr>
        <w:t>LeoRix AI</w:t>
      </w:r>
    </w:p>
    <w:p xmlns:wp14="http://schemas.microsoft.com/office/word/2010/wordml" w14:paraId="3766312D" wp14:textId="77777777">
      <w:pPr>
        <w:spacing w:after="40"/>
      </w:pPr>
      <w:r>
        <w:rPr>
          <w:rFonts w:ascii="Arial" w:hAnsi="Arial" w:eastAsia="Arial" w:cs="Arial"/>
          <w:b/>
          <w:bCs/>
          <w:color w:val="12284C"/>
          <w:sz w:val="24"/>
          <w:szCs w:val="24"/>
        </w:rPr>
        <w:t xml:space="preserve">Your All-in-One Enterprise AI Hub</w:t>
      </w:r>
    </w:p>
    <w:p xmlns:wp14="http://schemas.microsoft.com/office/word/2010/wordml" w14:paraId="51380F84" wp14:textId="77777777">
      <w:pPr>
        <w:spacing w:after="60"/>
      </w:pPr>
      <w:r w:rsidRPr="1B022502" w:rsidR="1B022502">
        <w:rPr>
          <w:rFonts w:ascii="Arial" w:hAnsi="Arial" w:eastAsia="Arial" w:cs="Arial"/>
          <w:color w:val="222222"/>
          <w:sz w:val="22"/>
          <w:szCs w:val="22"/>
          <w:lang w:val="en-US"/>
        </w:rPr>
        <w:t>One AI brain that unifies leads, CRM, HR, finance, and contracts, and runs cross-platform workflows from a single voice command. LeoRix turns fragmented operations into one intelligent, automated system.</w:t>
      </w:r>
    </w:p>
    <w:p xmlns:wp14="http://schemas.microsoft.com/office/word/2010/wordml" w14:paraId="71A164F2" wp14:textId="77777777">
      <w:pPr>
        <w:spacing w:before="200" w:after="20"/>
      </w:pPr>
      <w:r w:rsidRPr="1B022502" w:rsidR="1B022502">
        <w:rPr>
          <w:rFonts w:ascii="Arial" w:hAnsi="Arial" w:eastAsia="Arial" w:cs="Arial"/>
          <w:b w:val="1"/>
          <w:bCs w:val="1"/>
          <w:color w:val="E8772E"/>
          <w:sz w:val="18"/>
          <w:szCs w:val="18"/>
          <w:lang w:val="en-US"/>
        </w:rPr>
        <w:t>TradersHub</w:t>
      </w:r>
    </w:p>
    <w:p xmlns:wp14="http://schemas.microsoft.com/office/word/2010/wordml" w14:paraId="2D3D2892" wp14:textId="77777777">
      <w:pPr>
        <w:spacing w:after="40"/>
      </w:pPr>
      <w:r>
        <w:rPr>
          <w:rFonts w:ascii="Arial" w:hAnsi="Arial" w:eastAsia="Arial" w:cs="Arial"/>
          <w:b/>
          <w:bCs/>
          <w:color w:val="12284C"/>
          <w:sz w:val="24"/>
          <w:szCs w:val="24"/>
        </w:rPr>
        <w:t xml:space="preserve">Real-Time AI Tools for Modern Traders</w:t>
      </w:r>
    </w:p>
    <w:p xmlns:wp14="http://schemas.microsoft.com/office/word/2010/wordml" w14:paraId="1A4A2B4E" wp14:textId="77777777">
      <w:pPr>
        <w:spacing w:after="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A single trading platform for live market data, AI-powered alerts, advanced charting, and options flow across stocks, crypto, forex, and commodities. Real-time intelligence in place of delayed data and scattered tools.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a291da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554C7AF"/>
  <w15:docId w15:val="{AB45B64B-CF1D-46E1-96CA-09B24574BB56}"/>
  <w:rsids>
    <w:rsidRoot w:val="1B022502"/>
    <w:rsid w:val="1B02250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2026-06-24T22:09:52.2930000Z</dcterms:created>
  <dcterms:modified xsi:type="dcterms:W3CDTF">2026-06-25T14:01:17.1721200Z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