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69B87">
      <w:pPr>
        <w:spacing w:after="147" w:line="259" w:lineRule="auto"/>
        <w:ind w:left="12" w:right="8"/>
        <w:jc w:val="center"/>
        <w:rPr>
          <w:sz w:val="28"/>
          <w:szCs w:val="28"/>
        </w:rPr>
      </w:pPr>
      <w:r>
        <w:rPr>
          <w:sz w:val="28"/>
          <w:szCs w:val="28"/>
        </w:rPr>
        <w:t>Report</w:t>
      </w:r>
    </w:p>
    <w:p w14:paraId="4EA98633">
      <w:pPr>
        <w:spacing w:after="0" w:line="240" w:lineRule="auto"/>
        <w:ind w:left="0" w:right="0"/>
        <w:jc w:val="center"/>
        <w:rPr>
          <w:sz w:val="32"/>
          <w:szCs w:val="32"/>
        </w:rPr>
      </w:pPr>
      <w:bookmarkStart w:id="0" w:name="_naktk4944tu4" w:colFirst="0" w:colLast="0"/>
      <w:bookmarkEnd w:id="0"/>
      <w:r>
        <w:rPr>
          <w:sz w:val="32"/>
          <w:szCs w:val="32"/>
        </w:rPr>
        <w:t>Of</w:t>
      </w:r>
    </w:p>
    <w:p w14:paraId="588E428B">
      <w:pPr>
        <w:spacing w:after="0" w:line="240" w:lineRule="auto"/>
        <w:ind w:left="0" w:right="0"/>
        <w:jc w:val="center"/>
        <w:rPr>
          <w:b/>
          <w:sz w:val="32"/>
          <w:szCs w:val="32"/>
        </w:rPr>
      </w:pPr>
      <w:bookmarkStart w:id="1" w:name="_gjdgxs" w:colFirst="0" w:colLast="0"/>
      <w:bookmarkEnd w:id="1"/>
      <w:r>
        <w:rPr>
          <w:b/>
          <w:sz w:val="32"/>
          <w:szCs w:val="32"/>
        </w:rPr>
        <w:t>Topic</w:t>
      </w:r>
    </w:p>
    <w:p w14:paraId="649BBD8A">
      <w:pPr>
        <w:spacing w:after="148" w:line="259" w:lineRule="auto"/>
        <w:ind w:left="72" w:right="0"/>
        <w:jc w:val="center"/>
      </w:pPr>
    </w:p>
    <w:p w14:paraId="45C33851">
      <w:pPr>
        <w:spacing w:after="148" w:line="259" w:lineRule="auto"/>
        <w:ind w:left="72" w:right="0"/>
        <w:jc w:val="center"/>
      </w:pPr>
    </w:p>
    <w:p w14:paraId="6D544574">
      <w:pPr>
        <w:spacing w:after="148" w:line="259" w:lineRule="auto"/>
        <w:ind w:left="53" w:right="0"/>
        <w:jc w:val="center"/>
      </w:pPr>
    </w:p>
    <w:p w14:paraId="54F95EA9">
      <w:pPr>
        <w:spacing w:after="147" w:line="259" w:lineRule="auto"/>
        <w:ind w:left="12" w:right="2"/>
        <w:jc w:val="center"/>
      </w:pPr>
      <w:r>
        <w:t>Submitted</w:t>
      </w:r>
    </w:p>
    <w:p w14:paraId="7DB16C68">
      <w:pPr>
        <w:spacing w:after="147" w:line="259" w:lineRule="auto"/>
        <w:ind w:left="12" w:right="2"/>
        <w:jc w:val="center"/>
      </w:pPr>
      <w:r>
        <w:t>To</w:t>
      </w:r>
    </w:p>
    <w:p w14:paraId="1A98CB05">
      <w:pPr>
        <w:widowControl w:val="0"/>
        <w:spacing w:before="29" w:after="0" w:line="240" w:lineRule="auto"/>
        <w:ind w:right="1340"/>
        <w:jc w:val="center"/>
      </w:pPr>
      <w:r>
        <w:rPr>
          <w:rFonts w:hint="default"/>
          <w:lang w:val="en-US"/>
        </w:rPr>
        <w:t xml:space="preserve">      </w:t>
      </w:r>
      <w:r>
        <w:t>School of Computer Science and Engineering</w:t>
      </w:r>
    </w:p>
    <w:p w14:paraId="72B12E65">
      <w:pPr>
        <w:widowControl w:val="0"/>
        <w:spacing w:before="29" w:after="0" w:line="240" w:lineRule="auto"/>
        <w:ind w:right="1340"/>
        <w:jc w:val="center"/>
      </w:pPr>
      <w:r>
        <w:rPr>
          <w:rFonts w:hint="default"/>
          <w:lang w:val="en-US"/>
        </w:rPr>
        <w:t xml:space="preserve">    </w:t>
      </w:r>
      <w:r>
        <w:t>IILM University, Greater Noida, U.P.</w:t>
      </w:r>
    </w:p>
    <w:p w14:paraId="124DBFA5">
      <w:pPr>
        <w:spacing w:after="155" w:line="259" w:lineRule="auto"/>
        <w:ind w:left="0"/>
        <w:jc w:val="center"/>
      </w:pPr>
    </w:p>
    <w:p w14:paraId="4BBDE698">
      <w:pPr>
        <w:spacing w:after="155" w:line="259" w:lineRule="auto"/>
        <w:ind w:left="0" w:firstLine="1380" w:firstLineChars="600"/>
        <w:jc w:val="both"/>
      </w:pPr>
      <w:r>
        <w:t>In partial fulfilment of the requirement of degree of</w:t>
      </w:r>
    </w:p>
    <w:p w14:paraId="4F444443">
      <w:pPr>
        <w:spacing w:after="2" w:line="395" w:lineRule="auto"/>
        <w:ind w:left="2378" w:right="2379" w:firstLine="203"/>
        <w:jc w:val="center"/>
      </w:pPr>
      <w:r>
        <w:t>B.Tech CSE</w:t>
      </w:r>
    </w:p>
    <w:p w14:paraId="08FB9F87">
      <w:pPr>
        <w:spacing w:after="2" w:line="395" w:lineRule="auto"/>
        <w:ind w:left="2378" w:right="2379" w:firstLine="203"/>
        <w:jc w:val="center"/>
      </w:pPr>
    </w:p>
    <w:p w14:paraId="3823A1B6">
      <w:pPr>
        <w:spacing w:after="94" w:line="259" w:lineRule="auto"/>
        <w:ind w:left="53" w:right="0"/>
        <w:jc w:val="center"/>
      </w:pPr>
    </w:p>
    <w:p w14:paraId="49FF8847">
      <w:pPr>
        <w:spacing w:after="95" w:line="259" w:lineRule="auto"/>
        <w:ind w:left="82" w:right="0"/>
        <w:jc w:val="center"/>
      </w:pPr>
      <w:r>
        <w:drawing>
          <wp:inline distT="0" distB="0" distL="0" distR="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1323975" cy="1285875"/>
                    </a:xfrm>
                    <a:prstGeom prst="rect">
                      <a:avLst/>
                    </a:prstGeom>
                  </pic:spPr>
                </pic:pic>
              </a:graphicData>
            </a:graphic>
          </wp:inline>
        </w:drawing>
      </w:r>
    </w:p>
    <w:p w14:paraId="6B1BD85E">
      <w:pPr>
        <w:spacing w:after="150" w:line="259" w:lineRule="auto"/>
        <w:ind w:left="53" w:right="0"/>
        <w:jc w:val="center"/>
      </w:pPr>
    </w:p>
    <w:p w14:paraId="2648806A">
      <w:pPr>
        <w:spacing w:after="147" w:line="259" w:lineRule="auto"/>
        <w:ind w:left="12" w:right="2"/>
        <w:jc w:val="center"/>
      </w:pPr>
      <w:r>
        <w:t>By</w:t>
      </w:r>
    </w:p>
    <w:p w14:paraId="346D2CF9">
      <w:pPr>
        <w:spacing w:after="147" w:line="259" w:lineRule="auto"/>
        <w:ind w:left="12" w:right="7"/>
        <w:jc w:val="center"/>
        <w:rPr>
          <w:rFonts w:hint="default"/>
          <w:lang w:val="en-US"/>
        </w:rPr>
      </w:pPr>
      <w:r>
        <w:t>Roll Number of Student:</w:t>
      </w:r>
      <w:r>
        <w:rPr>
          <w:rFonts w:hint="default"/>
          <w:lang w:val="en-US"/>
        </w:rPr>
        <w:t>2410031586</w:t>
      </w:r>
    </w:p>
    <w:p w14:paraId="46733C7F">
      <w:pPr>
        <w:spacing w:after="147" w:line="259" w:lineRule="auto"/>
        <w:ind w:left="12" w:right="7"/>
        <w:jc w:val="center"/>
        <w:rPr>
          <w:rFonts w:hint="default"/>
          <w:lang w:val="en-US"/>
        </w:rPr>
      </w:pPr>
      <w:r>
        <w:t xml:space="preserve">Name of Student: </w:t>
      </w:r>
      <w:r>
        <w:rPr>
          <w:rFonts w:hint="default"/>
          <w:lang w:val="en-US"/>
        </w:rPr>
        <w:t>RAJAT KUMAR</w:t>
      </w:r>
    </w:p>
    <w:p w14:paraId="4DE4B3BF">
      <w:pPr>
        <w:spacing w:after="147" w:line="259" w:lineRule="auto"/>
        <w:ind w:left="12" w:right="0"/>
        <w:jc w:val="center"/>
        <w:rPr>
          <w:rFonts w:hint="default"/>
          <w:lang w:val="en-US"/>
        </w:rPr>
      </w:pPr>
      <w:r>
        <w:t>Batch:</w:t>
      </w:r>
      <w:r>
        <w:rPr>
          <w:rFonts w:hint="default"/>
          <w:lang w:val="en-US"/>
        </w:rPr>
        <w:t xml:space="preserve"> 2024-28</w:t>
      </w:r>
    </w:p>
    <w:p w14:paraId="59D07788">
      <w:pPr>
        <w:spacing w:after="0" w:line="259" w:lineRule="auto"/>
        <w:ind w:left="53" w:right="0"/>
        <w:jc w:val="center"/>
      </w:pPr>
    </w:p>
    <w:p w14:paraId="2D8691BF">
      <w:pPr>
        <w:spacing w:after="150" w:line="259" w:lineRule="auto"/>
        <w:ind w:left="1760" w:right="0"/>
        <w:jc w:val="center"/>
      </w:pPr>
    </w:p>
    <w:p w14:paraId="1E921119">
      <w:pPr>
        <w:spacing w:after="150" w:line="259" w:lineRule="auto"/>
        <w:ind w:left="1760" w:right="0"/>
        <w:jc w:val="center"/>
      </w:pPr>
    </w:p>
    <w:p w14:paraId="64A6B536">
      <w:pPr>
        <w:spacing w:after="150" w:line="259" w:lineRule="auto"/>
        <w:ind w:left="1760" w:right="0"/>
        <w:jc w:val="center"/>
      </w:pPr>
    </w:p>
    <w:p w14:paraId="6A82BD3E">
      <w:pPr>
        <w:spacing w:after="150" w:line="259" w:lineRule="auto"/>
        <w:ind w:left="1760" w:right="0"/>
        <w:jc w:val="center"/>
      </w:pPr>
    </w:p>
    <w:p w14:paraId="34A2F18E">
      <w:pPr>
        <w:spacing w:after="150" w:line="259" w:lineRule="auto"/>
        <w:ind w:left="53" w:right="0"/>
        <w:jc w:val="center"/>
      </w:pPr>
      <w:r>
        <w:t>2026-27</w:t>
      </w:r>
    </w:p>
    <w:p w14:paraId="6A199BFE">
      <w:pPr>
        <w:spacing w:after="150" w:line="259" w:lineRule="auto"/>
        <w:ind w:left="53" w:right="0"/>
        <w:jc w:val="center"/>
      </w:pPr>
    </w:p>
    <w:p w14:paraId="73823D15">
      <w:pPr>
        <w:spacing w:after="150" w:line="259" w:lineRule="auto"/>
        <w:ind w:left="53" w:right="0"/>
        <w:jc w:val="center"/>
      </w:pPr>
      <w:r>
        <w:t xml:space="preserve"> </w:t>
      </w:r>
    </w:p>
    <w:p w14:paraId="666E385A">
      <w:pPr>
        <w:spacing w:after="147" w:line="259" w:lineRule="auto"/>
        <w:ind w:left="12" w:right="7"/>
        <w:jc w:val="center"/>
        <w:rPr>
          <w:b/>
          <w:sz w:val="24"/>
          <w:szCs w:val="24"/>
        </w:rPr>
      </w:pPr>
      <w:r>
        <w:rPr>
          <w:b/>
          <w:sz w:val="24"/>
          <w:szCs w:val="24"/>
        </w:rPr>
        <w:t xml:space="preserve">CANDIDATE’S DECLARATION </w:t>
      </w:r>
    </w:p>
    <w:p w14:paraId="2D74B9ED">
      <w:pPr>
        <w:spacing w:after="147" w:line="259" w:lineRule="auto"/>
        <w:ind w:left="12" w:right="7"/>
        <w:jc w:val="center"/>
      </w:pPr>
    </w:p>
    <w:p w14:paraId="720D7BC8">
      <w:pPr>
        <w:spacing w:line="358" w:lineRule="auto"/>
        <w:ind w:left="-5" w:right="0"/>
      </w:pPr>
      <w:r>
        <w:t xml:space="preserve">I, </w:t>
      </w:r>
      <w:r>
        <w:rPr>
          <w:rFonts w:hint="default"/>
          <w:b/>
          <w:bCs/>
          <w:u w:val="single"/>
          <w:lang w:val="en-US"/>
        </w:rPr>
        <w:t>Rajat Kumar</w:t>
      </w:r>
      <w:r>
        <w:t xml:space="preserve"> do hereby declare that the internship report titled </w:t>
      </w:r>
      <w:r>
        <w:rPr>
          <w:b/>
          <w:bCs/>
        </w:rPr>
        <w:t>“</w:t>
      </w:r>
      <w:r>
        <w:rPr>
          <w:rFonts w:hint="default" w:ascii="Times New Roman" w:hAnsi="Times New Roman" w:eastAsia="SimSun" w:cs="Times New Roman"/>
          <w:b/>
          <w:bCs/>
          <w:sz w:val="24"/>
          <w:szCs w:val="24"/>
        </w:rPr>
        <w:t>Data Analytics Job Simulation at Deloitte</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pPr>
        <w:spacing w:after="0" w:line="259" w:lineRule="auto"/>
        <w:ind w:left="0" w:right="0"/>
        <w:jc w:val="both"/>
      </w:pPr>
      <w:r>
        <w:t xml:space="preserve"> </w:t>
      </w:r>
    </w:p>
    <w:p w14:paraId="1E0A4B2C">
      <w:pPr>
        <w:spacing w:after="0" w:line="259" w:lineRule="auto"/>
        <w:ind w:left="0" w:right="0"/>
        <w:jc w:val="both"/>
      </w:pPr>
      <w:r>
        <w:t xml:space="preserve"> </w:t>
      </w:r>
    </w:p>
    <w:p w14:paraId="0BF2AB82">
      <w:pPr>
        <w:spacing w:after="0" w:line="259" w:lineRule="auto"/>
        <w:ind w:left="0" w:right="0"/>
        <w:jc w:val="both"/>
      </w:pPr>
      <w:r>
        <w:t xml:space="preserve"> </w:t>
      </w:r>
    </w:p>
    <w:p w14:paraId="77AA4981">
      <w:pPr>
        <w:spacing w:after="0" w:line="259" w:lineRule="auto"/>
        <w:ind w:left="0" w:right="0"/>
        <w:jc w:val="both"/>
      </w:pPr>
      <w:r>
        <w:t xml:space="preserve"> </w:t>
      </w:r>
    </w:p>
    <w:p w14:paraId="5AD2CB4E">
      <w:pPr>
        <w:ind w:left="-5" w:right="0"/>
      </w:pPr>
      <w:r>
        <w:t xml:space="preserve">Signature </w:t>
      </w:r>
    </w:p>
    <w:p w14:paraId="63CE4979">
      <w:pPr>
        <w:ind w:left="-5" w:right="0"/>
      </w:pPr>
      <w:r>
        <w:t>Student Name</w:t>
      </w:r>
      <w:r>
        <w:rPr>
          <w:rFonts w:hint="default"/>
          <w:lang w:val="en-US"/>
        </w:rPr>
        <w:t xml:space="preserve"> </w:t>
      </w:r>
      <w:r>
        <w:rPr>
          <w:rFonts w:hint="default"/>
          <w:u w:val="single"/>
          <w:lang w:val="en-US"/>
        </w:rPr>
        <w:t>Rajat Kumar</w:t>
      </w:r>
    </w:p>
    <w:p w14:paraId="7BE59480">
      <w:pPr>
        <w:ind w:left="-5" w:right="0"/>
        <w:rPr>
          <w:rFonts w:hint="default"/>
          <w:u w:val="single"/>
          <w:lang w:val="en-US"/>
        </w:rPr>
      </w:pPr>
      <w:r>
        <w:t>Roll No.</w:t>
      </w:r>
      <w:r>
        <w:rPr>
          <w:rFonts w:hint="default"/>
          <w:u w:val="single"/>
          <w:lang w:val="en-US"/>
        </w:rPr>
        <w:t>2410031586</w:t>
      </w:r>
    </w:p>
    <w:p w14:paraId="317EE1C5">
      <w:pPr>
        <w:ind w:left="-5" w:right="0"/>
      </w:pPr>
      <w:r>
        <w:t xml:space="preserve"> </w:t>
      </w:r>
    </w:p>
    <w:p w14:paraId="6BA8125D">
      <w:pPr>
        <w:spacing w:after="166" w:line="259" w:lineRule="auto"/>
        <w:ind w:left="0" w:right="0"/>
        <w:jc w:val="both"/>
      </w:pPr>
      <w:r>
        <w:rPr>
          <w:sz w:val="21"/>
          <w:szCs w:val="21"/>
        </w:rPr>
        <w:t xml:space="preserve"> </w:t>
      </w:r>
    </w:p>
    <w:p w14:paraId="29D564C9">
      <w:pPr>
        <w:spacing w:after="161" w:line="259" w:lineRule="auto"/>
        <w:ind w:left="0" w:right="0"/>
        <w:jc w:val="both"/>
      </w:pPr>
      <w:r>
        <w:rPr>
          <w:sz w:val="21"/>
          <w:szCs w:val="21"/>
        </w:rPr>
        <w:t xml:space="preserve"> </w:t>
      </w:r>
    </w:p>
    <w:p w14:paraId="7A88352E">
      <w:pPr>
        <w:spacing w:after="166" w:line="259" w:lineRule="auto"/>
        <w:ind w:left="0" w:right="0"/>
        <w:jc w:val="both"/>
      </w:pPr>
      <w:r>
        <w:rPr>
          <w:sz w:val="21"/>
          <w:szCs w:val="21"/>
        </w:rPr>
        <w:t xml:space="preserve"> </w:t>
      </w:r>
    </w:p>
    <w:p w14:paraId="566D0E76">
      <w:pPr>
        <w:spacing w:after="163" w:line="259" w:lineRule="auto"/>
        <w:ind w:left="0" w:right="0"/>
        <w:jc w:val="both"/>
      </w:pPr>
      <w:r>
        <w:rPr>
          <w:sz w:val="21"/>
          <w:szCs w:val="21"/>
        </w:rPr>
        <w:t xml:space="preserve"> </w:t>
      </w:r>
    </w:p>
    <w:p w14:paraId="30D09C4F">
      <w:pPr>
        <w:spacing w:after="166" w:line="259" w:lineRule="auto"/>
        <w:ind w:left="0" w:right="0"/>
        <w:jc w:val="both"/>
      </w:pPr>
      <w:r>
        <w:rPr>
          <w:sz w:val="21"/>
          <w:szCs w:val="21"/>
        </w:rPr>
        <w:t xml:space="preserve"> </w:t>
      </w:r>
    </w:p>
    <w:p w14:paraId="4E095B90">
      <w:pPr>
        <w:spacing w:after="161" w:line="259" w:lineRule="auto"/>
        <w:ind w:left="0" w:right="0"/>
        <w:jc w:val="both"/>
      </w:pPr>
      <w:r>
        <w:rPr>
          <w:sz w:val="21"/>
          <w:szCs w:val="21"/>
        </w:rPr>
        <w:t xml:space="preserve"> </w:t>
      </w:r>
    </w:p>
    <w:p w14:paraId="580A8D7C">
      <w:pPr>
        <w:spacing w:after="163" w:line="259" w:lineRule="auto"/>
        <w:ind w:left="0" w:right="0"/>
        <w:jc w:val="both"/>
      </w:pPr>
      <w:r>
        <w:rPr>
          <w:sz w:val="21"/>
          <w:szCs w:val="21"/>
        </w:rPr>
        <w:t xml:space="preserve"> </w:t>
      </w:r>
    </w:p>
    <w:p w14:paraId="27E2B6A6">
      <w:pPr>
        <w:spacing w:after="166" w:line="259" w:lineRule="auto"/>
        <w:ind w:left="0" w:right="0"/>
        <w:jc w:val="both"/>
      </w:pPr>
      <w:r>
        <w:rPr>
          <w:sz w:val="21"/>
          <w:szCs w:val="21"/>
        </w:rPr>
        <w:t xml:space="preserve"> </w:t>
      </w:r>
    </w:p>
    <w:p w14:paraId="3F85C7A9">
      <w:pPr>
        <w:spacing w:after="163" w:line="259" w:lineRule="auto"/>
        <w:ind w:left="0" w:right="0"/>
        <w:jc w:val="both"/>
      </w:pPr>
      <w:r>
        <w:rPr>
          <w:sz w:val="21"/>
          <w:szCs w:val="21"/>
        </w:rPr>
        <w:t xml:space="preserve"> </w:t>
      </w:r>
    </w:p>
    <w:p w14:paraId="0A497192">
      <w:pPr>
        <w:spacing w:after="163" w:line="259" w:lineRule="auto"/>
        <w:ind w:left="0" w:right="0"/>
        <w:jc w:val="both"/>
      </w:pPr>
      <w:r>
        <w:rPr>
          <w:sz w:val="21"/>
          <w:szCs w:val="21"/>
        </w:rPr>
        <w:t xml:space="preserve"> </w:t>
      </w:r>
    </w:p>
    <w:p w14:paraId="3E9692FB">
      <w:pPr>
        <w:spacing w:after="163" w:line="259" w:lineRule="auto"/>
        <w:ind w:left="0" w:right="0"/>
        <w:jc w:val="both"/>
        <w:rPr>
          <w:sz w:val="21"/>
          <w:szCs w:val="21"/>
        </w:rPr>
      </w:pPr>
      <w:r>
        <w:rPr>
          <w:sz w:val="21"/>
          <w:szCs w:val="21"/>
        </w:rPr>
        <w:t xml:space="preserve"> </w:t>
      </w:r>
    </w:p>
    <w:p w14:paraId="31916FB7">
      <w:pPr>
        <w:spacing w:after="163" w:line="259" w:lineRule="auto"/>
        <w:ind w:left="0" w:right="0"/>
        <w:jc w:val="both"/>
        <w:rPr>
          <w:sz w:val="21"/>
          <w:szCs w:val="21"/>
        </w:rPr>
      </w:pPr>
    </w:p>
    <w:p w14:paraId="337792BA">
      <w:pPr>
        <w:spacing w:after="163" w:line="259" w:lineRule="auto"/>
        <w:ind w:left="0" w:right="0"/>
        <w:jc w:val="both"/>
        <w:rPr>
          <w:sz w:val="21"/>
          <w:szCs w:val="21"/>
        </w:rPr>
      </w:pPr>
    </w:p>
    <w:p w14:paraId="0D44BBD8">
      <w:pPr>
        <w:spacing w:after="163" w:line="259" w:lineRule="auto"/>
        <w:ind w:left="0" w:right="0"/>
        <w:jc w:val="both"/>
        <w:rPr>
          <w:sz w:val="21"/>
          <w:szCs w:val="21"/>
        </w:rPr>
      </w:pPr>
    </w:p>
    <w:p w14:paraId="20E711E1">
      <w:pPr>
        <w:spacing w:after="163" w:line="259" w:lineRule="auto"/>
        <w:ind w:left="0" w:right="0"/>
        <w:jc w:val="both"/>
        <w:rPr>
          <w:sz w:val="21"/>
          <w:szCs w:val="21"/>
        </w:rPr>
      </w:pPr>
    </w:p>
    <w:p w14:paraId="2F670886">
      <w:pPr>
        <w:spacing w:after="163" w:line="259" w:lineRule="auto"/>
        <w:ind w:left="0" w:right="0"/>
        <w:jc w:val="both"/>
      </w:pPr>
    </w:p>
    <w:p w14:paraId="1EBED625">
      <w:pPr>
        <w:spacing w:after="163" w:line="259" w:lineRule="auto"/>
        <w:ind w:left="0" w:right="0"/>
        <w:jc w:val="both"/>
      </w:pPr>
      <w:r>
        <w:rPr>
          <w:sz w:val="21"/>
          <w:szCs w:val="21"/>
        </w:rPr>
        <w:t xml:space="preserve"> </w:t>
      </w:r>
    </w:p>
    <w:p w14:paraId="1A2A1EA3">
      <w:pPr>
        <w:spacing w:after="163" w:line="259" w:lineRule="auto"/>
        <w:ind w:left="0" w:right="0"/>
        <w:jc w:val="both"/>
      </w:pPr>
      <w:r>
        <w:rPr>
          <w:sz w:val="21"/>
          <w:szCs w:val="21"/>
        </w:rPr>
        <w:t xml:space="preserve"> </w:t>
      </w:r>
      <w:r>
        <w:t xml:space="preserve">                                                 </w:t>
      </w:r>
      <w:r>
        <w:rPr>
          <w:b/>
          <w:sz w:val="24"/>
          <w:szCs w:val="24"/>
        </w:rPr>
        <w:t>ACKNOWLEDGEMENT</w:t>
      </w:r>
      <w:r>
        <w:t xml:space="preserve"> </w:t>
      </w:r>
    </w:p>
    <w:p w14:paraId="5CE61AD8">
      <w:pPr>
        <w:spacing w:after="163" w:line="259" w:lineRule="auto"/>
        <w:ind w:left="0" w:right="0"/>
        <w:jc w:val="both"/>
      </w:pPr>
    </w:p>
    <w:p w14:paraId="02A0C330">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pPr>
        <w:ind w:left="-5" w:right="0"/>
      </w:pPr>
      <w:r>
        <w:t>I express my gratitude to my parents for their blessings.</w:t>
      </w:r>
    </w:p>
    <w:p w14:paraId="22F8EB9B">
      <w:pPr>
        <w:spacing w:after="0" w:line="259" w:lineRule="auto"/>
        <w:ind w:left="0" w:right="0"/>
      </w:pPr>
      <w:r>
        <w:t xml:space="preserve"> </w:t>
      </w:r>
    </w:p>
    <w:p w14:paraId="42736177">
      <w:pPr>
        <w:spacing w:after="0" w:line="259" w:lineRule="auto"/>
        <w:ind w:left="0" w:right="0"/>
        <w:jc w:val="both"/>
      </w:pPr>
      <w:r>
        <w:t xml:space="preserve"> </w:t>
      </w:r>
    </w:p>
    <w:p w14:paraId="5F6EE8FF">
      <w:pPr>
        <w:spacing w:after="0" w:line="259" w:lineRule="auto"/>
        <w:ind w:left="0" w:right="0"/>
        <w:jc w:val="both"/>
      </w:pPr>
      <w:r>
        <w:t xml:space="preserve"> </w:t>
      </w:r>
    </w:p>
    <w:p w14:paraId="3CED6584">
      <w:pPr>
        <w:spacing w:after="0" w:line="259" w:lineRule="auto"/>
        <w:ind w:left="0" w:right="0"/>
        <w:jc w:val="both"/>
      </w:pPr>
      <w:r>
        <w:t xml:space="preserve"> </w:t>
      </w:r>
    </w:p>
    <w:p w14:paraId="7A5C3B7C">
      <w:pPr>
        <w:ind w:left="-5" w:right="0"/>
      </w:pPr>
      <w:r>
        <w:t xml:space="preserve">Signature </w:t>
      </w:r>
    </w:p>
    <w:p w14:paraId="3F630FA3">
      <w:pPr>
        <w:ind w:left="-5" w:right="0"/>
      </w:pPr>
      <w:r>
        <w:t>Student Name</w:t>
      </w:r>
      <w:r>
        <w:rPr>
          <w:rFonts w:hint="default"/>
          <w:lang w:val="en-US"/>
        </w:rPr>
        <w:t xml:space="preserve"> Rajat Kumar</w:t>
      </w:r>
      <w:r>
        <w:t xml:space="preserve"> </w:t>
      </w:r>
    </w:p>
    <w:p w14:paraId="565BC957">
      <w:pPr>
        <w:ind w:left="-5" w:right="0"/>
        <w:rPr>
          <w:rFonts w:hint="default"/>
          <w:lang w:val="en-US"/>
        </w:rPr>
      </w:pPr>
      <w:r>
        <w:t>Roll No.</w:t>
      </w:r>
      <w:r>
        <w:rPr>
          <w:rFonts w:hint="default"/>
          <w:lang w:val="en-US"/>
        </w:rPr>
        <w:t xml:space="preserve"> 2410031586</w:t>
      </w:r>
    </w:p>
    <w:p w14:paraId="1A47E261">
      <w:pPr>
        <w:ind w:left="-5" w:right="0"/>
      </w:pPr>
    </w:p>
    <w:p w14:paraId="52C4598F">
      <w:pPr>
        <w:spacing w:after="256" w:line="259" w:lineRule="auto"/>
        <w:ind w:left="0" w:right="0"/>
        <w:jc w:val="both"/>
      </w:pPr>
      <w:r>
        <w:t xml:space="preserve"> </w:t>
      </w:r>
    </w:p>
    <w:p w14:paraId="51ACB73D">
      <w:pPr>
        <w:spacing w:after="258" w:line="259" w:lineRule="auto"/>
        <w:ind w:left="0" w:right="0"/>
        <w:jc w:val="both"/>
      </w:pPr>
      <w:r>
        <w:t xml:space="preserve"> </w:t>
      </w:r>
    </w:p>
    <w:p w14:paraId="69FE7566">
      <w:pPr>
        <w:spacing w:after="261" w:line="259" w:lineRule="auto"/>
        <w:ind w:left="0" w:right="0"/>
        <w:jc w:val="both"/>
      </w:pPr>
      <w:r>
        <w:t xml:space="preserve">  </w:t>
      </w:r>
    </w:p>
    <w:p w14:paraId="61EACCE1">
      <w:pPr>
        <w:spacing w:after="150" w:line="259" w:lineRule="auto"/>
        <w:ind w:left="53" w:right="0"/>
        <w:jc w:val="center"/>
      </w:pPr>
      <w:r>
        <w:t xml:space="preserve"> </w:t>
      </w:r>
    </w:p>
    <w:p w14:paraId="07C2B320">
      <w:pPr>
        <w:spacing w:after="148" w:line="259" w:lineRule="auto"/>
        <w:ind w:left="53" w:right="0"/>
        <w:jc w:val="center"/>
      </w:pPr>
      <w:r>
        <w:t xml:space="preserve"> </w:t>
      </w:r>
    </w:p>
    <w:p w14:paraId="535E8EDE">
      <w:pPr>
        <w:spacing w:after="133" w:line="259" w:lineRule="auto"/>
        <w:ind w:left="53" w:right="0"/>
        <w:jc w:val="center"/>
      </w:pPr>
      <w:r>
        <w:t xml:space="preserve"> </w:t>
      </w:r>
    </w:p>
    <w:p w14:paraId="6D9BB5FC">
      <w:pPr>
        <w:spacing w:after="166" w:line="259" w:lineRule="auto"/>
        <w:ind w:left="0" w:right="0"/>
        <w:jc w:val="both"/>
      </w:pPr>
      <w:r>
        <w:rPr>
          <w:sz w:val="21"/>
          <w:szCs w:val="21"/>
        </w:rPr>
        <w:t xml:space="preserve"> </w:t>
      </w:r>
    </w:p>
    <w:p w14:paraId="09A16E80">
      <w:pPr>
        <w:spacing w:after="163" w:line="259" w:lineRule="auto"/>
        <w:ind w:left="0" w:right="0"/>
        <w:jc w:val="both"/>
      </w:pPr>
      <w:r>
        <w:rPr>
          <w:sz w:val="21"/>
          <w:szCs w:val="21"/>
        </w:rPr>
        <w:t xml:space="preserve"> </w:t>
      </w:r>
    </w:p>
    <w:p w14:paraId="1118D1FC">
      <w:pPr>
        <w:spacing w:after="166" w:line="259" w:lineRule="auto"/>
        <w:ind w:left="0" w:right="0"/>
        <w:jc w:val="both"/>
      </w:pPr>
      <w:r>
        <w:rPr>
          <w:sz w:val="21"/>
          <w:szCs w:val="21"/>
        </w:rPr>
        <w:t xml:space="preserve"> </w:t>
      </w:r>
    </w:p>
    <w:p w14:paraId="003C6DD8">
      <w:pPr>
        <w:spacing w:after="161" w:line="259" w:lineRule="auto"/>
        <w:ind w:left="0" w:right="0"/>
        <w:jc w:val="both"/>
      </w:pPr>
      <w:r>
        <w:rPr>
          <w:sz w:val="21"/>
          <w:szCs w:val="21"/>
        </w:rPr>
        <w:t xml:space="preserve"> </w:t>
      </w:r>
    </w:p>
    <w:p w14:paraId="294E9AE9">
      <w:pPr>
        <w:spacing w:after="163" w:line="259" w:lineRule="auto"/>
        <w:ind w:left="0" w:right="0"/>
        <w:jc w:val="both"/>
      </w:pPr>
      <w:r>
        <w:rPr>
          <w:sz w:val="21"/>
          <w:szCs w:val="21"/>
        </w:rPr>
        <w:t xml:space="preserve"> </w:t>
      </w:r>
    </w:p>
    <w:p w14:paraId="4799B343">
      <w:pPr>
        <w:spacing w:after="166" w:line="259" w:lineRule="auto"/>
        <w:ind w:left="0" w:right="0"/>
        <w:jc w:val="both"/>
      </w:pPr>
      <w:r>
        <w:rPr>
          <w:sz w:val="21"/>
          <w:szCs w:val="21"/>
        </w:rPr>
        <w:t xml:space="preserve"> </w:t>
      </w:r>
    </w:p>
    <w:p w14:paraId="6E7EF8AA">
      <w:pPr>
        <w:spacing w:after="163" w:line="259" w:lineRule="auto"/>
        <w:ind w:left="0" w:right="0"/>
        <w:jc w:val="both"/>
      </w:pPr>
      <w:r>
        <w:rPr>
          <w:sz w:val="21"/>
          <w:szCs w:val="21"/>
        </w:rPr>
        <w:t xml:space="preserve"> </w:t>
      </w:r>
    </w:p>
    <w:p w14:paraId="18167E1B">
      <w:pPr>
        <w:spacing w:after="163" w:line="259" w:lineRule="auto"/>
        <w:ind w:left="0" w:right="0"/>
        <w:jc w:val="both"/>
      </w:pPr>
      <w:r>
        <w:rPr>
          <w:sz w:val="21"/>
          <w:szCs w:val="21"/>
        </w:rPr>
        <w:t xml:space="preserve"> </w:t>
      </w:r>
    </w:p>
    <w:p w14:paraId="31F09E76">
      <w:pPr>
        <w:spacing w:after="163" w:line="259" w:lineRule="auto"/>
        <w:ind w:left="0" w:right="0"/>
        <w:jc w:val="both"/>
      </w:pPr>
      <w:r>
        <w:rPr>
          <w:sz w:val="21"/>
          <w:szCs w:val="21"/>
        </w:rPr>
        <w:t xml:space="preserve"> </w:t>
      </w:r>
    </w:p>
    <w:p w14:paraId="76FBE7BC">
      <w:pPr>
        <w:spacing w:after="166" w:line="259" w:lineRule="auto"/>
        <w:ind w:left="0" w:right="0"/>
        <w:jc w:val="both"/>
      </w:pPr>
      <w:r>
        <w:rPr>
          <w:sz w:val="21"/>
          <w:szCs w:val="21"/>
        </w:rPr>
        <w:t xml:space="preserve"> </w:t>
      </w:r>
    </w:p>
    <w:p w14:paraId="38F61374">
      <w:pPr>
        <w:spacing w:after="163" w:line="259" w:lineRule="auto"/>
        <w:ind w:left="0" w:right="0"/>
        <w:jc w:val="both"/>
      </w:pPr>
      <w:r>
        <w:rPr>
          <w:sz w:val="21"/>
          <w:szCs w:val="21"/>
        </w:rPr>
        <w:t xml:space="preserve"> </w:t>
      </w:r>
    </w:p>
    <w:p w14:paraId="5355223B">
      <w:pPr>
        <w:spacing w:after="163" w:line="259" w:lineRule="auto"/>
        <w:ind w:left="0" w:right="0"/>
        <w:jc w:val="both"/>
      </w:pPr>
      <w:r>
        <w:rPr>
          <w:sz w:val="21"/>
          <w:szCs w:val="21"/>
        </w:rPr>
        <w:t xml:space="preserve"> </w:t>
      </w:r>
    </w:p>
    <w:p w14:paraId="040F0A27">
      <w:pPr>
        <w:spacing w:after="163" w:line="259" w:lineRule="auto"/>
        <w:ind w:left="0" w:right="0"/>
        <w:jc w:val="both"/>
      </w:pPr>
    </w:p>
    <w:tbl>
      <w:tblPr>
        <w:tblStyle w:val="18"/>
        <w:tblW w:w="8445" w:type="dxa"/>
        <w:tblInd w:w="5" w:type="dxa"/>
        <w:tblLayout w:type="fixed"/>
        <w:tblCellMar>
          <w:top w:w="48" w:type="dxa"/>
          <w:left w:w="97" w:type="dxa"/>
          <w:bottom w:w="0" w:type="dxa"/>
          <w:right w:w="49" w:type="dxa"/>
        </w:tblCellMar>
      </w:tblPr>
      <w:tblGrid>
        <w:gridCol w:w="1455"/>
        <w:gridCol w:w="4995"/>
        <w:gridCol w:w="1995"/>
      </w:tblGrid>
      <w:tr w14:paraId="36790E63">
        <w:tblPrEx>
          <w:tblCellMar>
            <w:top w:w="48" w:type="dxa"/>
            <w:left w:w="97" w:type="dxa"/>
            <w:bottom w:w="0" w:type="dxa"/>
            <w:right w:w="49" w:type="dxa"/>
          </w:tblCellMar>
        </w:tblPrEx>
        <w:trPr>
          <w:trHeight w:val="288" w:hRule="atLeast"/>
        </w:trPr>
        <w:tc>
          <w:tcPr>
            <w:tcW w:w="1455" w:type="dxa"/>
            <w:tcBorders>
              <w:top w:val="single" w:color="000000" w:sz="4" w:space="0"/>
              <w:left w:val="single" w:color="000000" w:sz="4" w:space="0"/>
              <w:bottom w:val="single" w:color="000000" w:sz="4" w:space="0"/>
              <w:right w:val="single" w:color="000000" w:sz="4" w:space="0"/>
            </w:tcBorders>
          </w:tcPr>
          <w:p w14:paraId="5005300A">
            <w:pPr>
              <w:spacing w:after="0" w:line="259" w:lineRule="auto"/>
              <w:ind w:left="4" w:right="0"/>
              <w:jc w:val="both"/>
              <w:rPr>
                <w:b/>
                <w:sz w:val="24"/>
                <w:szCs w:val="24"/>
              </w:rPr>
            </w:pPr>
            <w:r>
              <w:rPr>
                <w:b/>
                <w:sz w:val="24"/>
                <w:szCs w:val="24"/>
              </w:rPr>
              <w:t xml:space="preserve">Chapter No. </w:t>
            </w:r>
          </w:p>
        </w:tc>
        <w:tc>
          <w:tcPr>
            <w:tcW w:w="4995" w:type="dxa"/>
            <w:tcBorders>
              <w:top w:val="single" w:color="000000" w:sz="4" w:space="0"/>
              <w:left w:val="single" w:color="000000" w:sz="4" w:space="0"/>
              <w:bottom w:val="single" w:color="000000" w:sz="4" w:space="0"/>
              <w:right w:val="single" w:color="000000" w:sz="4" w:space="0"/>
            </w:tcBorders>
          </w:tcPr>
          <w:p w14:paraId="7210E079">
            <w:pPr>
              <w:spacing w:after="0" w:line="259" w:lineRule="auto"/>
              <w:ind w:left="2" w:right="0"/>
              <w:jc w:val="center"/>
              <w:rPr>
                <w:b/>
                <w:sz w:val="24"/>
                <w:szCs w:val="24"/>
              </w:rPr>
            </w:pPr>
            <w:r>
              <w:rPr>
                <w:b/>
                <w:sz w:val="24"/>
                <w:szCs w:val="24"/>
              </w:rPr>
              <w:t xml:space="preserve"> Chapter Name </w:t>
            </w:r>
          </w:p>
        </w:tc>
        <w:tc>
          <w:tcPr>
            <w:tcW w:w="1995" w:type="dxa"/>
            <w:tcBorders>
              <w:top w:val="single" w:color="000000" w:sz="4" w:space="0"/>
              <w:left w:val="single" w:color="000000" w:sz="4" w:space="0"/>
              <w:bottom w:val="single" w:color="000000" w:sz="4" w:space="0"/>
              <w:right w:val="single" w:color="000000" w:sz="4" w:space="0"/>
            </w:tcBorders>
          </w:tcPr>
          <w:p w14:paraId="0C8070EE">
            <w:pPr>
              <w:spacing w:after="0" w:line="259" w:lineRule="auto"/>
              <w:ind w:left="1" w:right="0"/>
              <w:jc w:val="both"/>
              <w:rPr>
                <w:b/>
                <w:sz w:val="24"/>
                <w:szCs w:val="24"/>
              </w:rPr>
            </w:pPr>
            <w:r>
              <w:rPr>
                <w:b/>
                <w:sz w:val="24"/>
                <w:szCs w:val="24"/>
              </w:rPr>
              <w:t xml:space="preserve">Page Nos. </w:t>
            </w:r>
          </w:p>
        </w:tc>
      </w:tr>
      <w:tr w14:paraId="2B894BDA">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5D29C115">
            <w:pPr>
              <w:spacing w:after="0" w:line="259" w:lineRule="auto"/>
              <w:ind w:left="4" w:right="0"/>
              <w:jc w:val="center"/>
            </w:pPr>
          </w:p>
        </w:tc>
        <w:tc>
          <w:tcPr>
            <w:tcW w:w="4995" w:type="dxa"/>
            <w:tcBorders>
              <w:top w:val="single" w:color="000000" w:sz="4" w:space="0"/>
              <w:left w:val="single" w:color="000000" w:sz="4" w:space="0"/>
              <w:bottom w:val="single" w:color="000000" w:sz="4" w:space="0"/>
              <w:right w:val="single" w:color="000000" w:sz="4" w:space="0"/>
            </w:tcBorders>
          </w:tcPr>
          <w:p w14:paraId="25E129A8">
            <w:pPr>
              <w:spacing w:after="0" w:line="259" w:lineRule="auto"/>
              <w:ind w:left="4" w:right="0"/>
              <w:jc w:val="both"/>
            </w:pPr>
            <w:r>
              <w:t xml:space="preserve">Cover Page </w:t>
            </w:r>
          </w:p>
        </w:tc>
        <w:tc>
          <w:tcPr>
            <w:tcW w:w="1995" w:type="dxa"/>
            <w:tcBorders>
              <w:top w:val="single" w:color="000000" w:sz="4" w:space="0"/>
              <w:left w:val="single" w:color="000000" w:sz="4" w:space="0"/>
              <w:bottom w:val="single" w:color="000000" w:sz="4" w:space="0"/>
              <w:right w:val="single" w:color="000000" w:sz="4" w:space="0"/>
            </w:tcBorders>
          </w:tcPr>
          <w:p w14:paraId="4A07E281">
            <w:pPr>
              <w:spacing w:after="0" w:line="259" w:lineRule="auto"/>
              <w:ind w:left="3" w:right="0"/>
              <w:jc w:val="both"/>
            </w:pPr>
            <w:r>
              <w:t xml:space="preserve">---- </w:t>
            </w:r>
          </w:p>
        </w:tc>
      </w:tr>
      <w:tr w14:paraId="4E8C6B26">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4D2FADA1">
            <w:pPr>
              <w:spacing w:after="0" w:line="259" w:lineRule="auto"/>
              <w:ind w:left="4" w:right="0"/>
              <w:jc w:val="center"/>
            </w:pPr>
            <w:r>
              <w:t>1.</w:t>
            </w:r>
          </w:p>
        </w:tc>
        <w:tc>
          <w:tcPr>
            <w:tcW w:w="4995" w:type="dxa"/>
            <w:tcBorders>
              <w:top w:val="single" w:color="000000" w:sz="4" w:space="0"/>
              <w:left w:val="single" w:color="000000" w:sz="4" w:space="0"/>
              <w:bottom w:val="single" w:color="000000" w:sz="4" w:space="0"/>
              <w:right w:val="single" w:color="000000" w:sz="4" w:space="0"/>
            </w:tcBorders>
          </w:tcPr>
          <w:p w14:paraId="3924E59C">
            <w:pPr>
              <w:spacing w:after="0" w:line="259" w:lineRule="auto"/>
              <w:ind w:left="4" w:right="0"/>
              <w:jc w:val="both"/>
            </w:pPr>
            <w:r>
              <w:t xml:space="preserve">Candidate’s Declaration </w:t>
            </w:r>
          </w:p>
        </w:tc>
        <w:tc>
          <w:tcPr>
            <w:tcW w:w="1995" w:type="dxa"/>
            <w:tcBorders>
              <w:top w:val="single" w:color="000000" w:sz="4" w:space="0"/>
              <w:left w:val="single" w:color="000000" w:sz="4" w:space="0"/>
              <w:bottom w:val="single" w:color="000000" w:sz="4" w:space="0"/>
              <w:right w:val="single" w:color="000000" w:sz="4" w:space="0"/>
            </w:tcBorders>
          </w:tcPr>
          <w:p w14:paraId="57896FA1">
            <w:pPr>
              <w:spacing w:after="0" w:line="259" w:lineRule="auto"/>
              <w:ind w:left="4" w:right="0"/>
              <w:jc w:val="both"/>
            </w:pPr>
            <w:r>
              <w:t xml:space="preserve"> </w:t>
            </w:r>
          </w:p>
        </w:tc>
      </w:tr>
      <w:tr w14:paraId="51C57B8A">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2CE82152">
            <w:pPr>
              <w:spacing w:after="0" w:line="259" w:lineRule="auto"/>
              <w:ind w:left="4" w:right="0"/>
              <w:jc w:val="center"/>
            </w:pPr>
            <w:r>
              <w:t>2.</w:t>
            </w:r>
          </w:p>
        </w:tc>
        <w:tc>
          <w:tcPr>
            <w:tcW w:w="4995" w:type="dxa"/>
            <w:tcBorders>
              <w:top w:val="single" w:color="000000" w:sz="4" w:space="0"/>
              <w:left w:val="single" w:color="000000" w:sz="4" w:space="0"/>
              <w:bottom w:val="single" w:color="000000" w:sz="4" w:space="0"/>
              <w:right w:val="single" w:color="000000" w:sz="4" w:space="0"/>
            </w:tcBorders>
          </w:tcPr>
          <w:p w14:paraId="60530F51">
            <w:pPr>
              <w:spacing w:after="0" w:line="259" w:lineRule="auto"/>
              <w:ind w:left="4" w:right="0"/>
              <w:jc w:val="both"/>
            </w:pPr>
            <w:r>
              <w:t xml:space="preserve">Acknowledgment </w:t>
            </w:r>
          </w:p>
        </w:tc>
        <w:tc>
          <w:tcPr>
            <w:tcW w:w="1995" w:type="dxa"/>
            <w:tcBorders>
              <w:top w:val="single" w:color="000000" w:sz="4" w:space="0"/>
              <w:left w:val="single" w:color="000000" w:sz="4" w:space="0"/>
              <w:bottom w:val="single" w:color="000000" w:sz="4" w:space="0"/>
              <w:right w:val="single" w:color="000000" w:sz="4" w:space="0"/>
            </w:tcBorders>
          </w:tcPr>
          <w:p w14:paraId="6D7F9008">
            <w:pPr>
              <w:spacing w:after="0" w:line="259" w:lineRule="auto"/>
              <w:ind w:left="1" w:right="0"/>
              <w:jc w:val="both"/>
            </w:pPr>
            <w:r>
              <w:t xml:space="preserve"> </w:t>
            </w:r>
          </w:p>
        </w:tc>
      </w:tr>
      <w:tr w14:paraId="6D5F2A39">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6E59C890">
            <w:pPr>
              <w:spacing w:after="0" w:line="259" w:lineRule="auto"/>
              <w:ind w:left="4" w:right="0"/>
              <w:jc w:val="center"/>
            </w:pPr>
            <w:r>
              <w:t>3.</w:t>
            </w:r>
          </w:p>
        </w:tc>
        <w:tc>
          <w:tcPr>
            <w:tcW w:w="4995" w:type="dxa"/>
            <w:tcBorders>
              <w:top w:val="single" w:color="000000" w:sz="4" w:space="0"/>
              <w:left w:val="single" w:color="000000" w:sz="4" w:space="0"/>
              <w:bottom w:val="single" w:color="000000" w:sz="4" w:space="0"/>
              <w:right w:val="single" w:color="000000" w:sz="4" w:space="0"/>
            </w:tcBorders>
          </w:tcPr>
          <w:p w14:paraId="057035C6">
            <w:pPr>
              <w:spacing w:after="0" w:line="259" w:lineRule="auto"/>
              <w:ind w:left="4" w:right="0"/>
              <w:jc w:val="both"/>
            </w:pPr>
            <w:r>
              <w:t>Internship Completion Certificate</w:t>
            </w:r>
          </w:p>
        </w:tc>
        <w:tc>
          <w:tcPr>
            <w:tcW w:w="1995" w:type="dxa"/>
            <w:tcBorders>
              <w:top w:val="single" w:color="000000" w:sz="4" w:space="0"/>
              <w:left w:val="single" w:color="000000" w:sz="4" w:space="0"/>
              <w:bottom w:val="single" w:color="000000" w:sz="4" w:space="0"/>
              <w:right w:val="single" w:color="000000" w:sz="4" w:space="0"/>
            </w:tcBorders>
          </w:tcPr>
          <w:p w14:paraId="3CCBB157">
            <w:pPr>
              <w:spacing w:after="0" w:line="259" w:lineRule="auto"/>
              <w:ind w:left="1" w:right="0"/>
              <w:jc w:val="both"/>
            </w:pPr>
          </w:p>
        </w:tc>
      </w:tr>
      <w:tr w14:paraId="23586238">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38ED1E10">
            <w:pPr>
              <w:spacing w:after="0" w:line="259" w:lineRule="auto"/>
              <w:ind w:left="4" w:right="0"/>
              <w:jc w:val="center"/>
            </w:pPr>
            <w:r>
              <w:t>4.</w:t>
            </w:r>
          </w:p>
        </w:tc>
        <w:tc>
          <w:tcPr>
            <w:tcW w:w="4995" w:type="dxa"/>
            <w:tcBorders>
              <w:top w:val="single" w:color="000000" w:sz="4" w:space="0"/>
              <w:left w:val="single" w:color="000000" w:sz="4" w:space="0"/>
              <w:bottom w:val="single" w:color="000000" w:sz="4" w:space="0"/>
              <w:right w:val="single" w:color="000000" w:sz="4" w:space="0"/>
            </w:tcBorders>
          </w:tcPr>
          <w:p w14:paraId="444C4317">
            <w:pPr>
              <w:spacing w:after="0" w:line="259" w:lineRule="auto"/>
              <w:ind w:left="4" w:right="0"/>
              <w:jc w:val="both"/>
            </w:pPr>
            <w:r>
              <w:t>Project Description</w:t>
            </w:r>
          </w:p>
          <w:p w14:paraId="28D0712D">
            <w:pPr>
              <w:spacing w:after="0" w:line="259" w:lineRule="auto"/>
              <w:ind w:left="4" w:right="0"/>
              <w:jc w:val="both"/>
            </w:pPr>
            <w:r>
              <w:t xml:space="preserve">    4 .1 Introduction </w:t>
            </w:r>
          </w:p>
          <w:p w14:paraId="5F928B2F">
            <w:pPr>
              <w:spacing w:after="0" w:line="259" w:lineRule="auto"/>
              <w:ind w:left="4" w:right="0"/>
              <w:jc w:val="both"/>
            </w:pPr>
            <w:r>
              <w:t xml:space="preserve">    4.2 Organization Profile </w:t>
            </w:r>
          </w:p>
          <w:p w14:paraId="13F280FD">
            <w:pPr>
              <w:spacing w:after="0" w:line="259" w:lineRule="auto"/>
              <w:ind w:left="0" w:right="0"/>
              <w:jc w:val="both"/>
            </w:pPr>
            <w:r>
              <w:t xml:space="preserve">    4.3 Problem Statement </w:t>
            </w:r>
          </w:p>
          <w:p w14:paraId="594B2780">
            <w:pPr>
              <w:spacing w:after="0" w:line="259" w:lineRule="auto"/>
              <w:ind w:left="4" w:right="0"/>
              <w:jc w:val="both"/>
            </w:pPr>
            <w:r>
              <w:t xml:space="preserve">    4.4 Project Objectives </w:t>
            </w:r>
          </w:p>
          <w:p w14:paraId="33373F2E">
            <w:pPr>
              <w:spacing w:after="0" w:line="259" w:lineRule="auto"/>
              <w:ind w:left="4" w:right="0"/>
              <w:jc w:val="both"/>
            </w:pPr>
            <w:r>
              <w:t xml:space="preserve">    4.5 Scope of the Project </w:t>
            </w:r>
          </w:p>
          <w:p w14:paraId="697F8DD7">
            <w:pPr>
              <w:spacing w:after="0" w:line="259" w:lineRule="auto"/>
              <w:ind w:left="4" w:right="0"/>
              <w:jc w:val="both"/>
            </w:pPr>
            <w:r>
              <w:t xml:space="preserve">    4.6 Technologies and Tools Used </w:t>
            </w:r>
          </w:p>
          <w:p w14:paraId="5D7171E8">
            <w:pPr>
              <w:spacing w:after="0" w:line="259" w:lineRule="auto"/>
              <w:ind w:left="4" w:right="0"/>
              <w:jc w:val="both"/>
            </w:pPr>
            <w:r>
              <w:t xml:space="preserve">    4.7 System Architecture </w:t>
            </w:r>
          </w:p>
          <w:p w14:paraId="642BB456">
            <w:pPr>
              <w:spacing w:after="0" w:line="259" w:lineRule="auto"/>
              <w:ind w:left="4" w:right="0"/>
              <w:jc w:val="both"/>
            </w:pPr>
            <w:r>
              <w:t xml:space="preserve">    4.8 Methodology </w:t>
            </w:r>
          </w:p>
          <w:p w14:paraId="5A3F68E6">
            <w:pPr>
              <w:spacing w:after="0" w:line="259" w:lineRule="auto"/>
              <w:ind w:left="4" w:right="0"/>
              <w:jc w:val="both"/>
            </w:pPr>
            <w:r>
              <w:t xml:space="preserve">    4.9 Expected Outcomes</w:t>
            </w:r>
          </w:p>
          <w:p w14:paraId="4582C821">
            <w:pPr>
              <w:spacing w:after="0" w:line="259" w:lineRule="auto"/>
              <w:ind w:left="4" w:right="0"/>
              <w:jc w:val="both"/>
            </w:pPr>
            <w:r>
              <w:t xml:space="preserve">    4.10 Certificates of completion and other communication mail proof must be attached</w:t>
            </w:r>
          </w:p>
          <w:p w14:paraId="7BA73083">
            <w:pPr>
              <w:spacing w:after="0" w:line="259" w:lineRule="auto"/>
              <w:ind w:left="4" w:right="0"/>
              <w:jc w:val="both"/>
            </w:pPr>
          </w:p>
        </w:tc>
        <w:tc>
          <w:tcPr>
            <w:tcW w:w="1995" w:type="dxa"/>
            <w:tcBorders>
              <w:top w:val="single" w:color="000000" w:sz="4" w:space="0"/>
              <w:left w:val="single" w:color="000000" w:sz="4" w:space="0"/>
              <w:bottom w:val="single" w:color="000000" w:sz="4" w:space="0"/>
              <w:right w:val="single" w:color="000000" w:sz="4" w:space="0"/>
            </w:tcBorders>
          </w:tcPr>
          <w:p w14:paraId="57FD1696">
            <w:pPr>
              <w:spacing w:after="0" w:line="259" w:lineRule="auto"/>
              <w:ind w:left="1" w:right="0"/>
              <w:jc w:val="both"/>
            </w:pPr>
          </w:p>
        </w:tc>
      </w:tr>
      <w:tr w14:paraId="5FFB9439">
        <w:tblPrEx>
          <w:tblCellMar>
            <w:top w:w="48" w:type="dxa"/>
            <w:left w:w="97" w:type="dxa"/>
            <w:bottom w:w="0" w:type="dxa"/>
            <w:right w:w="49" w:type="dxa"/>
          </w:tblCellMar>
        </w:tblPrEx>
        <w:trPr>
          <w:trHeight w:val="278" w:hRule="atLeast"/>
        </w:trPr>
        <w:tc>
          <w:tcPr>
            <w:tcW w:w="1455" w:type="dxa"/>
            <w:tcBorders>
              <w:top w:val="single" w:color="000000" w:sz="4" w:space="0"/>
              <w:left w:val="single" w:color="000000" w:sz="4" w:space="0"/>
              <w:bottom w:val="single" w:color="000000" w:sz="4" w:space="0"/>
              <w:right w:val="single" w:color="000000" w:sz="4" w:space="0"/>
            </w:tcBorders>
          </w:tcPr>
          <w:p w14:paraId="6A006280">
            <w:pPr>
              <w:spacing w:after="0" w:line="259" w:lineRule="auto"/>
              <w:ind w:left="0" w:right="48"/>
              <w:jc w:val="center"/>
            </w:pPr>
            <w:r>
              <w:t>5.</w:t>
            </w:r>
          </w:p>
        </w:tc>
        <w:tc>
          <w:tcPr>
            <w:tcW w:w="4995" w:type="dxa"/>
            <w:tcBorders>
              <w:top w:val="single" w:color="000000" w:sz="4" w:space="0"/>
              <w:left w:val="single" w:color="000000" w:sz="4" w:space="0"/>
              <w:bottom w:val="single" w:color="000000" w:sz="4" w:space="0"/>
              <w:right w:val="single" w:color="000000" w:sz="4" w:space="0"/>
            </w:tcBorders>
          </w:tcPr>
          <w:p w14:paraId="2BCFB6DF">
            <w:pPr>
              <w:spacing w:after="0" w:line="240" w:lineRule="auto"/>
              <w:ind w:left="4" w:right="0"/>
              <w:jc w:val="both"/>
            </w:pPr>
            <w:r>
              <w:t xml:space="preserve">Bibliography/References  </w:t>
            </w:r>
          </w:p>
        </w:tc>
        <w:tc>
          <w:tcPr>
            <w:tcW w:w="1995" w:type="dxa"/>
            <w:tcBorders>
              <w:top w:val="single" w:color="000000" w:sz="4" w:space="0"/>
              <w:left w:val="single" w:color="000000" w:sz="4" w:space="0"/>
              <w:bottom w:val="single" w:color="000000" w:sz="4" w:space="0"/>
              <w:right w:val="single" w:color="000000" w:sz="4" w:space="0"/>
            </w:tcBorders>
          </w:tcPr>
          <w:p w14:paraId="5AA751D7">
            <w:pPr>
              <w:spacing w:after="0" w:line="259" w:lineRule="auto"/>
              <w:ind w:left="0" w:right="0"/>
              <w:jc w:val="both"/>
            </w:pPr>
            <w:r>
              <w:t xml:space="preserve"> </w:t>
            </w:r>
          </w:p>
        </w:tc>
      </w:tr>
    </w:tbl>
    <w:p w14:paraId="5362BFE9">
      <w:pPr>
        <w:spacing w:after="168" w:line="259" w:lineRule="auto"/>
        <w:ind w:left="0" w:right="0"/>
        <w:jc w:val="both"/>
        <w:rPr>
          <w:b/>
          <w:u w:val="single"/>
        </w:rPr>
      </w:pPr>
    </w:p>
    <w:p w14:paraId="214E41C0">
      <w:pPr>
        <w:spacing w:after="168" w:line="259" w:lineRule="auto"/>
        <w:ind w:left="0" w:right="0"/>
        <w:jc w:val="both"/>
        <w:rPr>
          <w:b/>
        </w:rPr>
      </w:pPr>
      <w:r>
        <w:rPr>
          <w:b/>
          <w:u w:val="single"/>
        </w:rPr>
        <w:t>Instruction for the report format</w:t>
      </w:r>
    </w:p>
    <w:p w14:paraId="523D201E">
      <w:pPr>
        <w:numPr>
          <w:ilvl w:val="0"/>
          <w:numId w:val="1"/>
        </w:numPr>
        <w:ind w:left="676" w:right="0" w:hanging="338"/>
      </w:pPr>
      <w:r>
        <w:t xml:space="preserve">Cover Page, Copy of the Certificate issued by industry/organisation will have no Page Number. </w:t>
      </w:r>
    </w:p>
    <w:p w14:paraId="0E05EFAD">
      <w:pPr>
        <w:numPr>
          <w:ilvl w:val="0"/>
          <w:numId w:val="1"/>
        </w:numPr>
        <w:ind w:left="676" w:right="0" w:hanging="338"/>
      </w:pPr>
      <w:r>
        <w:t xml:space="preserve">Page no. of Sr. No. 1 to 6 along with a list of tables and list of figures will bear the Roman Numbering System (e.g. i, ii, iii). </w:t>
      </w:r>
    </w:p>
    <w:p w14:paraId="14C86BFC">
      <w:pPr>
        <w:numPr>
          <w:ilvl w:val="0"/>
          <w:numId w:val="1"/>
        </w:numPr>
        <w:ind w:left="676" w:right="0" w:hanging="338"/>
      </w:pPr>
      <w:r>
        <w:t>Bibliography/References should be in proper format.</w:t>
      </w:r>
    </w:p>
    <w:p w14:paraId="67E3557F">
      <w:pPr>
        <w:ind w:left="676" w:right="0"/>
      </w:pPr>
    </w:p>
    <w:p w14:paraId="0B55E5A7">
      <w:pPr>
        <w:spacing w:after="0" w:line="259" w:lineRule="auto"/>
        <w:ind w:left="-5" w:right="0"/>
      </w:pPr>
    </w:p>
    <w:p w14:paraId="5CCCE9AD">
      <w:pPr>
        <w:spacing w:after="0" w:line="259" w:lineRule="auto"/>
        <w:ind w:left="-5" w:right="0"/>
      </w:pPr>
    </w:p>
    <w:p w14:paraId="149AADAC">
      <w:pPr>
        <w:spacing w:after="0" w:line="259" w:lineRule="auto"/>
        <w:ind w:left="-5" w:right="0"/>
      </w:pPr>
    </w:p>
    <w:p w14:paraId="7CB0F7F7">
      <w:pPr>
        <w:spacing w:after="0" w:line="259" w:lineRule="auto"/>
        <w:ind w:left="-5" w:right="0"/>
      </w:pPr>
    </w:p>
    <w:p w14:paraId="30275201">
      <w:pPr>
        <w:spacing w:after="0" w:line="259" w:lineRule="auto"/>
        <w:ind w:left="-5" w:right="0"/>
      </w:pPr>
    </w:p>
    <w:p w14:paraId="48EC63B4">
      <w:pPr>
        <w:spacing w:after="0" w:line="259" w:lineRule="auto"/>
        <w:ind w:left="-5" w:right="0"/>
      </w:pPr>
    </w:p>
    <w:p w14:paraId="795A1850">
      <w:pPr>
        <w:spacing w:after="0" w:line="259" w:lineRule="auto"/>
        <w:ind w:left="-5" w:right="0"/>
      </w:pPr>
    </w:p>
    <w:p w14:paraId="5FE17397">
      <w:pPr>
        <w:spacing w:after="0" w:line="259" w:lineRule="auto"/>
        <w:ind w:left="-5" w:right="0"/>
      </w:pPr>
    </w:p>
    <w:p w14:paraId="0CB6AE03">
      <w:pPr>
        <w:spacing w:after="0" w:line="259" w:lineRule="auto"/>
        <w:ind w:left="-5" w:right="0"/>
      </w:pPr>
    </w:p>
    <w:p w14:paraId="71D781B7">
      <w:pPr>
        <w:numPr>
          <w:ilvl w:val="0"/>
          <w:numId w:val="2"/>
        </w:numPr>
        <w:spacing w:after="0" w:line="259" w:lineRule="auto"/>
        <w:ind w:left="-5" w:right="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Project Description</w:t>
      </w:r>
    </w:p>
    <w:p w14:paraId="4B05F1B9">
      <w:pPr>
        <w:numPr>
          <w:numId w:val="0"/>
        </w:numPr>
        <w:spacing w:after="0" w:line="259" w:lineRule="auto"/>
        <w:ind w:leftChars="0" w:right="0" w:rightChars="0"/>
        <w:rPr>
          <w:rFonts w:hint="default" w:ascii="Times New Roman" w:hAnsi="Times New Roman" w:eastAsia="SimSun" w:cs="Times New Roman"/>
          <w:b/>
          <w:bCs/>
          <w:sz w:val="22"/>
          <w:szCs w:val="22"/>
        </w:rPr>
      </w:pPr>
    </w:p>
    <w:p w14:paraId="44E93BB7">
      <w:pPr>
        <w:pStyle w:val="4"/>
        <w:keepNext w:val="0"/>
        <w:keepLines w:val="0"/>
        <w:widowControl/>
        <w:suppressLineNumbers w:val="0"/>
        <w:bidi w:val="0"/>
      </w:pPr>
      <w:r>
        <w:t>4.1 Introduction</w:t>
      </w:r>
    </w:p>
    <w:p w14:paraId="01F48768">
      <w:pPr>
        <w:pStyle w:val="14"/>
        <w:keepNext w:val="0"/>
        <w:keepLines w:val="0"/>
        <w:widowControl/>
        <w:suppressLineNumbers w:val="0"/>
        <w:bidi w:val="0"/>
      </w:pPr>
      <w:r>
        <w:t xml:space="preserve">Data analytics has become a cornerstone of decision-making across nearly every industry, and professional services firms such as Deloitte increasingly rely on analytical techniques to support their clients in identifying patterns, uncovering irregularities, and making evidence-based decisions. To provide students and early-career professionals with a realistic understanding of this kind of work, Deloitte partnered with the online platform </w:t>
      </w:r>
      <w:r>
        <w:rPr>
          <w:rStyle w:val="15"/>
        </w:rPr>
        <w:t>Forage</w:t>
      </w:r>
      <w:r>
        <w:t xml:space="preserve"> to design a self-paced, guided </w:t>
      </w:r>
      <w:r>
        <w:rPr>
          <w:rStyle w:val="15"/>
        </w:rPr>
        <w:t>Data Analytics Job Simulation</w:t>
      </w:r>
      <w:r>
        <w:t>.</w:t>
      </w:r>
    </w:p>
    <w:p w14:paraId="3A979CFF">
      <w:pPr>
        <w:pStyle w:val="14"/>
        <w:keepNext w:val="0"/>
        <w:keepLines w:val="0"/>
        <w:widowControl/>
        <w:suppressLineNumbers w:val="0"/>
        <w:bidi w:val="0"/>
      </w:pPr>
      <w:r>
        <w:t xml:space="preserve">As part of my academic and professional development, I undertook this simulation, which was structured around two core focus areas: </w:t>
      </w:r>
      <w:r>
        <w:rPr>
          <w:rStyle w:val="15"/>
        </w:rPr>
        <w:t>data analysis</w:t>
      </w:r>
      <w:r>
        <w:t xml:space="preserve"> and </w:t>
      </w:r>
      <w:r>
        <w:rPr>
          <w:rStyle w:val="15"/>
        </w:rPr>
        <w:t>forensic technology</w:t>
      </w:r>
      <w:r>
        <w:t>. The simulation was designed to replicate, in a simplified and instructional format, the type of analytical thinking and structured problem-solving that a data analyst might apply within a consulting or advisory context.</w:t>
      </w:r>
    </w:p>
    <w:p w14:paraId="36A3CA1F">
      <w:pPr>
        <w:pStyle w:val="14"/>
        <w:keepNext w:val="0"/>
        <w:keepLines w:val="0"/>
        <w:widowControl/>
        <w:suppressLineNumbers w:val="0"/>
        <w:bidi w:val="0"/>
      </w:pPr>
      <w:r>
        <w:t>This report documents my understanding of the simulation, the general nature of the tasks involved, the skills it aimed to build, and the broader professional context in which such analytical work is typically carried out. Since the simulation is a guided learning exercise rather than a live client engagement, this report focuses on the conceptual and procedural understanding gained, rather than on any confidential client data, internal Deloitte systems, or proprietary methodologies — none of which were part of, or accessible through, the simulation.</w:t>
      </w:r>
    </w:p>
    <w:p w14:paraId="33459D75">
      <w:pPr>
        <w:pStyle w:val="4"/>
        <w:keepNext w:val="0"/>
        <w:keepLines w:val="0"/>
        <w:widowControl/>
        <w:suppressLineNumbers w:val="0"/>
        <w:bidi w:val="0"/>
      </w:pPr>
      <w:r>
        <w:t>4.2 Organization Profile</w:t>
      </w:r>
    </w:p>
    <w:p w14:paraId="0626D969">
      <w:pPr>
        <w:pStyle w:val="14"/>
        <w:keepNext w:val="0"/>
        <w:keepLines w:val="0"/>
        <w:widowControl/>
        <w:suppressLineNumbers w:val="0"/>
        <w:bidi w:val="0"/>
      </w:pPr>
      <w:r>
        <w:rPr>
          <w:rStyle w:val="15"/>
        </w:rPr>
        <w:t>Deloitte</w:t>
      </w:r>
      <w:r>
        <w:t xml:space="preserve"> is one of the world's largest professional services networks, providing audit, consulting, financial advisory, risk advisory, tax, and related services to clients across a wide range of industries and geographies. It operates as a network of member firms across the globe, serving public and private sector clients including a significant proportion of large multinational organizations.</w:t>
      </w:r>
    </w:p>
    <w:p w14:paraId="09C733E1">
      <w:pPr>
        <w:pStyle w:val="14"/>
        <w:keepNext w:val="0"/>
        <w:keepLines w:val="0"/>
        <w:widowControl/>
        <w:suppressLineNumbers w:val="0"/>
        <w:bidi w:val="0"/>
      </w:pPr>
      <w:r>
        <w:t>Within its consulting and advisory practices, Deloitte works extensively with data — helping clients interpret business performance, detect anomalies or risks, and support strategic decisions through analytics. The firm's broader service offerings also include forensic and investigative services, where analytical techniques are applied to examine financial records, detect irregularities, and support risk and compliance functions.</w:t>
      </w:r>
    </w:p>
    <w:p w14:paraId="7F9FD320">
      <w:pPr>
        <w:pStyle w:val="14"/>
        <w:keepNext w:val="0"/>
        <w:keepLines w:val="0"/>
        <w:widowControl/>
        <w:suppressLineNumbers w:val="0"/>
        <w:bidi w:val="0"/>
      </w:pPr>
      <w:r>
        <w:t xml:space="preserve">To make this kind of work accessible to students, Deloitte has published a series of </w:t>
      </w:r>
      <w:r>
        <w:rPr>
          <w:rStyle w:val="15"/>
        </w:rPr>
        <w:t>virtual job simulations</w:t>
      </w:r>
      <w:r>
        <w:t xml:space="preserve"> on the Forage platform. These simulations are self-paced, instructional programs designed to give participants a realistic (though simplified and non-confidential) sense of the tasks performed within specific practice areas of the firm, without involving access to actual client engagements or internal systems.</w:t>
      </w:r>
    </w:p>
    <w:p w14:paraId="7332A5AE">
      <w:pPr>
        <w:pStyle w:val="4"/>
        <w:keepNext w:val="0"/>
        <w:keepLines w:val="0"/>
        <w:widowControl/>
        <w:suppressLineNumbers w:val="0"/>
        <w:bidi w:val="0"/>
      </w:pPr>
      <w:r>
        <w:t>4.3 Problem Statement</w:t>
      </w:r>
    </w:p>
    <w:p w14:paraId="78D0734E">
      <w:pPr>
        <w:pStyle w:val="14"/>
        <w:keepNext w:val="0"/>
        <w:keepLines w:val="0"/>
        <w:widowControl/>
        <w:suppressLineNumbers w:val="0"/>
        <w:bidi w:val="0"/>
      </w:pPr>
      <w:r>
        <w:t>Organizations today generate large volumes of data through their day-to-day operations, and this data often holds insights that are not immediately visible. A recurring challenge for analytics and advisory teams is to take raw, unstructured, or loosely organized information and convert it into a form that supports clear, evidence-based conclusions.</w:t>
      </w:r>
    </w:p>
    <w:p w14:paraId="688EBF7F">
      <w:pPr>
        <w:pStyle w:val="14"/>
        <w:keepNext w:val="0"/>
        <w:keepLines w:val="0"/>
        <w:widowControl/>
        <w:suppressLineNumbers w:val="0"/>
        <w:bidi w:val="0"/>
      </w:pPr>
      <w:r>
        <w:t>In the context of this simulation, the broad problem addressed was twofold:</w:t>
      </w:r>
    </w:p>
    <w:p w14:paraId="75CD6DA5">
      <w:pPr>
        <w:keepNext w:val="0"/>
        <w:keepLines w:val="0"/>
        <w:widowControl/>
        <w:numPr>
          <w:ilvl w:val="0"/>
          <w:numId w:val="3"/>
        </w:numPr>
        <w:suppressLineNumbers w:val="0"/>
        <w:spacing w:before="0" w:beforeAutospacing="1" w:after="0" w:afterAutospacing="1"/>
        <w:ind w:left="720" w:hanging="360"/>
      </w:pPr>
      <w:r>
        <w:rPr>
          <w:rStyle w:val="15"/>
        </w:rPr>
        <w:t>Data Analysis Challenge:</w:t>
      </w:r>
      <w:r>
        <w:t xml:space="preserve"> How can available information be examined systematically to identify meaningful patterns, trends, or outliers that are relevant to a business or operational question?</w:t>
      </w:r>
    </w:p>
    <w:p w14:paraId="239849D4">
      <w:pPr>
        <w:keepNext w:val="0"/>
        <w:keepLines w:val="0"/>
        <w:widowControl/>
        <w:numPr>
          <w:ilvl w:val="0"/>
          <w:numId w:val="3"/>
        </w:numPr>
        <w:suppressLineNumbers w:val="0"/>
        <w:spacing w:before="0" w:beforeAutospacing="1" w:after="0" w:afterAutospacing="1"/>
        <w:ind w:left="720" w:hanging="360"/>
      </w:pPr>
      <w:r>
        <w:rPr>
          <w:rStyle w:val="15"/>
        </w:rPr>
        <w:t>Forensic Technology Challenge:</w:t>
      </w:r>
      <w:r>
        <w:t xml:space="preserve"> How can analytical techniques be applied specifically to review records or information for irregularities, inconsistencies, or indicators that may warrant closer investigation?</w:t>
      </w:r>
    </w:p>
    <w:p w14:paraId="25B71040">
      <w:pPr>
        <w:pStyle w:val="14"/>
        <w:keepNext w:val="0"/>
        <w:keepLines w:val="0"/>
        <w:widowControl/>
        <w:suppressLineNumbers w:val="0"/>
        <w:bidi w:val="0"/>
      </w:pPr>
      <w:r>
        <w:t xml:space="preserve">These are presented here as </w:t>
      </w:r>
      <w:r>
        <w:rPr>
          <w:rStyle w:val="15"/>
        </w:rPr>
        <w:t>general problem framings</w:t>
      </w:r>
      <w:r>
        <w:t xml:space="preserve"> consistent with the stated task areas on the certificate (data analysis and forensic technology), rather than as descriptions of any specific confidential scenario, dataset, or client situation, since no such specifics were disclosed as part of the simulation output or the certificate.</w:t>
      </w:r>
    </w:p>
    <w:p w14:paraId="52FB2B35">
      <w:pPr>
        <w:pStyle w:val="4"/>
        <w:keepNext w:val="0"/>
        <w:keepLines w:val="0"/>
        <w:widowControl/>
        <w:suppressLineNumbers w:val="0"/>
        <w:bidi w:val="0"/>
      </w:pPr>
      <w:r>
        <w:t>4.4 Project Objectives</w:t>
      </w:r>
    </w:p>
    <w:p w14:paraId="5BE72F1C">
      <w:pPr>
        <w:pStyle w:val="14"/>
        <w:keepNext w:val="0"/>
        <w:keepLines w:val="0"/>
        <w:widowControl/>
        <w:suppressLineNumbers w:val="0"/>
        <w:bidi w:val="0"/>
      </w:pPr>
      <w:r>
        <w:t>The broad objectives of undertaking this simulation, and of this report, are as follows:</w:t>
      </w:r>
    </w:p>
    <w:p w14:paraId="4656D109">
      <w:pPr>
        <w:keepNext w:val="0"/>
        <w:keepLines w:val="0"/>
        <w:widowControl/>
        <w:numPr>
          <w:ilvl w:val="0"/>
          <w:numId w:val="4"/>
        </w:numPr>
        <w:suppressLineNumbers w:val="0"/>
        <w:spacing w:before="0" w:beforeAutospacing="1" w:after="0" w:afterAutospacing="1"/>
        <w:ind w:left="720" w:hanging="360"/>
      </w:pPr>
      <w:r>
        <w:t>To gain a working understanding of how structured data analysis is approached in a professional consulting context.</w:t>
      </w:r>
    </w:p>
    <w:p w14:paraId="71EBA99E">
      <w:pPr>
        <w:keepNext w:val="0"/>
        <w:keepLines w:val="0"/>
        <w:widowControl/>
        <w:numPr>
          <w:ilvl w:val="0"/>
          <w:numId w:val="4"/>
        </w:numPr>
        <w:suppressLineNumbers w:val="0"/>
        <w:spacing w:before="0" w:beforeAutospacing="1" w:after="0" w:afterAutospacing="1"/>
        <w:ind w:left="720" w:hanging="360"/>
      </w:pPr>
      <w:r>
        <w:t>To understand the general principles behind forensic technology as an analytical discipline, including how it differs from routine data analysis.</w:t>
      </w:r>
    </w:p>
    <w:p w14:paraId="70AD988C">
      <w:pPr>
        <w:keepNext w:val="0"/>
        <w:keepLines w:val="0"/>
        <w:widowControl/>
        <w:numPr>
          <w:ilvl w:val="0"/>
          <w:numId w:val="4"/>
        </w:numPr>
        <w:suppressLineNumbers w:val="0"/>
        <w:spacing w:before="0" w:beforeAutospacing="1" w:after="0" w:afterAutospacing="1"/>
        <w:ind w:left="720" w:hanging="360"/>
      </w:pPr>
      <w:r>
        <w:t>To develop familiarity with a logical, repeatable workflow for examining data — from initial understanding of a task through to communicating findings.</w:t>
      </w:r>
    </w:p>
    <w:p w14:paraId="1FD3E370">
      <w:pPr>
        <w:keepNext w:val="0"/>
        <w:keepLines w:val="0"/>
        <w:widowControl/>
        <w:numPr>
          <w:ilvl w:val="0"/>
          <w:numId w:val="4"/>
        </w:numPr>
        <w:suppressLineNumbers w:val="0"/>
        <w:spacing w:before="0" w:beforeAutospacing="1" w:after="0" w:afterAutospacing="1"/>
        <w:ind w:left="720" w:hanging="360"/>
      </w:pPr>
      <w:r>
        <w:t>To strengthen foundational analytical thinking skills that are transferable to academic projects and future professional roles.</w:t>
      </w:r>
    </w:p>
    <w:p w14:paraId="32891A83">
      <w:pPr>
        <w:keepNext w:val="0"/>
        <w:keepLines w:val="0"/>
        <w:widowControl/>
        <w:numPr>
          <w:ilvl w:val="0"/>
          <w:numId w:val="4"/>
        </w:numPr>
        <w:suppressLineNumbers w:val="0"/>
        <w:spacing w:before="0" w:beforeAutospacing="1" w:after="0" w:afterAutospacing="1"/>
        <w:ind w:left="720" w:hanging="360"/>
      </w:pPr>
      <w:r>
        <w:t>To document, in an academically appropriate format, the learning outcomes of the simulation as part of the B.Tech CSE internship requirement.</w:t>
      </w:r>
    </w:p>
    <w:p w14:paraId="3781DF9E">
      <w:pPr>
        <w:pStyle w:val="4"/>
        <w:keepNext w:val="0"/>
        <w:keepLines w:val="0"/>
        <w:widowControl/>
        <w:suppressLineNumbers w:val="0"/>
        <w:bidi w:val="0"/>
      </w:pPr>
      <w:r>
        <w:t>4.5 Scope of the Project</w:t>
      </w:r>
    </w:p>
    <w:p w14:paraId="3368DD1E">
      <w:pPr>
        <w:pStyle w:val="14"/>
        <w:keepNext w:val="0"/>
        <w:keepLines w:val="0"/>
        <w:widowControl/>
        <w:suppressLineNumbers w:val="0"/>
        <w:bidi w:val="0"/>
      </w:pPr>
      <w:r>
        <w:t xml:space="preserve">The scope of this internship simulation was limited to the two task areas confirmed on the certificate of completion: </w:t>
      </w:r>
      <w:r>
        <w:rPr>
          <w:rStyle w:val="15"/>
        </w:rPr>
        <w:t>data analysis</w:t>
      </w:r>
      <w:r>
        <w:t xml:space="preserve"> and </w:t>
      </w:r>
      <w:r>
        <w:rPr>
          <w:rStyle w:val="15"/>
        </w:rPr>
        <w:t>forensic technology</w:t>
      </w:r>
      <w:r>
        <w:t>. As a self-paced, guided virtual simulation, the program did not involve:</w:t>
      </w:r>
    </w:p>
    <w:p w14:paraId="4D924AC5">
      <w:pPr>
        <w:keepNext w:val="0"/>
        <w:keepLines w:val="0"/>
        <w:widowControl/>
        <w:numPr>
          <w:ilvl w:val="0"/>
          <w:numId w:val="5"/>
        </w:numPr>
        <w:suppressLineNumbers w:val="0"/>
        <w:spacing w:before="0" w:beforeAutospacing="1" w:after="0" w:afterAutospacing="1"/>
        <w:ind w:left="720" w:hanging="360"/>
      </w:pPr>
      <w:r>
        <w:t>Access to live or confidential Deloitte client data or systems.</w:t>
      </w:r>
    </w:p>
    <w:p w14:paraId="2AD49329">
      <w:pPr>
        <w:keepNext w:val="0"/>
        <w:keepLines w:val="0"/>
        <w:widowControl/>
        <w:numPr>
          <w:ilvl w:val="0"/>
          <w:numId w:val="5"/>
        </w:numPr>
        <w:suppressLineNumbers w:val="0"/>
        <w:spacing w:before="0" w:beforeAutospacing="1" w:after="0" w:afterAutospacing="1"/>
        <w:ind w:left="720" w:hanging="360"/>
      </w:pPr>
      <w:r>
        <w:t>Interaction with actual Deloitte employees, teams, or supervisors.</w:t>
      </w:r>
    </w:p>
    <w:p w14:paraId="1583316E">
      <w:pPr>
        <w:keepNext w:val="0"/>
        <w:keepLines w:val="0"/>
        <w:widowControl/>
        <w:numPr>
          <w:ilvl w:val="0"/>
          <w:numId w:val="5"/>
        </w:numPr>
        <w:suppressLineNumbers w:val="0"/>
        <w:spacing w:before="0" w:beforeAutospacing="1" w:after="0" w:afterAutospacing="1"/>
        <w:ind w:left="720" w:hanging="360"/>
      </w:pPr>
      <w:r>
        <w:t>Assignment of real client deliverables or business outcomes.</w:t>
      </w:r>
    </w:p>
    <w:p w14:paraId="0621E7BD">
      <w:pPr>
        <w:pStyle w:val="14"/>
        <w:keepNext w:val="0"/>
        <w:keepLines w:val="0"/>
        <w:widowControl/>
        <w:suppressLineNumbers w:val="0"/>
        <w:bidi w:val="0"/>
      </w:pPr>
      <w:r>
        <w:t>Within these boundaries, the scope of learning covered general analytical concepts, task-based exercises designed by Deloitte to mirror real workplace scenarios, and self-assessment against example solutions provided on the platform. This report accordingly focuses on the conceptual, procedural, and skill-based scope of the experience rather than on specific data outputs, since exact task content, datasets, and software instructions are proprietary to the Forage platform and were part of a guided exercise rather than independent project work.</w:t>
      </w:r>
    </w:p>
    <w:p w14:paraId="40689695">
      <w:pPr>
        <w:pStyle w:val="4"/>
        <w:keepNext w:val="0"/>
        <w:keepLines w:val="0"/>
        <w:widowControl/>
        <w:suppressLineNumbers w:val="0"/>
        <w:bidi w:val="0"/>
      </w:pPr>
      <w:r>
        <w:t>4.6 Technologies and Tools Used</w:t>
      </w:r>
    </w:p>
    <w:p w14:paraId="2914773F">
      <w:pPr>
        <w:pStyle w:val="14"/>
        <w:keepNext w:val="0"/>
        <w:keepLines w:val="0"/>
        <w:widowControl/>
        <w:suppressLineNumbers w:val="0"/>
        <w:bidi w:val="0"/>
      </w:pPr>
      <w:r>
        <w:t xml:space="preserve">The exact software tools used in the specific version of the simulation are not confirmed by the certificate of completion, which lists only the task areas (data analysis and forensic technology) and not the specific tools employed. Rather than assume specific software, this section describes the </w:t>
      </w:r>
      <w:r>
        <w:rPr>
          <w:rStyle w:val="15"/>
        </w:rPr>
        <w:t>general categories of tools and techniques</w:t>
      </w:r>
      <w:r>
        <w:t xml:space="preserve"> that are typically associated with this kind of analytical work in the industry:</w:t>
      </w:r>
    </w:p>
    <w:p w14:paraId="57E7C369">
      <w:pPr>
        <w:keepNext w:val="0"/>
        <w:keepLines w:val="0"/>
        <w:widowControl/>
        <w:numPr>
          <w:ilvl w:val="0"/>
          <w:numId w:val="6"/>
        </w:numPr>
        <w:suppressLineNumbers w:val="0"/>
        <w:spacing w:before="0" w:beforeAutospacing="1" w:after="0" w:afterAutospacing="1"/>
        <w:ind w:left="720" w:hanging="360"/>
      </w:pPr>
      <w:r>
        <w:rPr>
          <w:rStyle w:val="15"/>
        </w:rPr>
        <w:t>Spreadsheet-based analysis tools:</w:t>
      </w:r>
      <w:r>
        <w:t xml:space="preserve"> Commonly used for organizing, cleaning, and performing calculations on structured data — including tasks such as sorting, filtering, pivot-table style summarization, and basic statistical calculations.</w:t>
      </w:r>
    </w:p>
    <w:p w14:paraId="18912928">
      <w:pPr>
        <w:keepNext w:val="0"/>
        <w:keepLines w:val="0"/>
        <w:widowControl/>
        <w:numPr>
          <w:ilvl w:val="0"/>
          <w:numId w:val="6"/>
        </w:numPr>
        <w:suppressLineNumbers w:val="0"/>
        <w:spacing w:before="0" w:beforeAutospacing="1" w:after="0" w:afterAutospacing="1"/>
        <w:ind w:left="720" w:hanging="360"/>
      </w:pPr>
      <w:r>
        <w:rPr>
          <w:rStyle w:val="15"/>
        </w:rPr>
        <w:t>Data visualization tools:</w:t>
      </w:r>
      <w:r>
        <w:t xml:space="preserve"> Used to convert processed data into charts, graphs, and dashboards that make trends and outliers easier to identify and communicate to a non-technical audience.</w:t>
      </w:r>
    </w:p>
    <w:p w14:paraId="468A0214">
      <w:pPr>
        <w:keepNext w:val="0"/>
        <w:keepLines w:val="0"/>
        <w:widowControl/>
        <w:numPr>
          <w:ilvl w:val="0"/>
          <w:numId w:val="6"/>
        </w:numPr>
        <w:suppressLineNumbers w:val="0"/>
        <w:spacing w:before="0" w:beforeAutospacing="1" w:after="0" w:afterAutospacing="1"/>
        <w:ind w:left="720" w:hanging="360"/>
      </w:pPr>
      <w:r>
        <w:rPr>
          <w:rStyle w:val="15"/>
        </w:rPr>
        <w:t>Data cleaning and preparation techniques:</w:t>
      </w:r>
      <w:r>
        <w:t xml:space="preserve"> General practices such as identifying missing or inconsistent values, removing duplicate records, and standardizing formats before analysis begins.</w:t>
      </w:r>
    </w:p>
    <w:p w14:paraId="3FDEA219">
      <w:pPr>
        <w:keepNext w:val="0"/>
        <w:keepLines w:val="0"/>
        <w:widowControl/>
        <w:numPr>
          <w:ilvl w:val="0"/>
          <w:numId w:val="6"/>
        </w:numPr>
        <w:suppressLineNumbers w:val="0"/>
        <w:spacing w:before="0" w:beforeAutospacing="1" w:after="0" w:afterAutospacing="1"/>
        <w:ind w:left="720" w:hanging="360"/>
      </w:pPr>
      <w:r>
        <w:rPr>
          <w:rStyle w:val="15"/>
        </w:rPr>
        <w:t>Analytical and statistical reasoning:</w:t>
      </w:r>
      <w:r>
        <w:t xml:space="preserve"> Techniques such as trend identification, comparison across categories, and outlier detection, which underpin both routine data analysis and forensic-style review.</w:t>
      </w:r>
    </w:p>
    <w:p w14:paraId="5A3F96CA">
      <w:pPr>
        <w:keepNext w:val="0"/>
        <w:keepLines w:val="0"/>
        <w:widowControl/>
        <w:numPr>
          <w:ilvl w:val="0"/>
          <w:numId w:val="6"/>
        </w:numPr>
        <w:suppressLineNumbers w:val="0"/>
        <w:spacing w:before="0" w:beforeAutospacing="1" w:after="0" w:afterAutospacing="1"/>
        <w:ind w:left="720" w:hanging="360"/>
      </w:pPr>
      <w:r>
        <w:rPr>
          <w:rStyle w:val="15"/>
        </w:rPr>
        <w:t>Documentation and reporting practices:</w:t>
      </w:r>
      <w:r>
        <w:t xml:space="preserve"> Structuring findings clearly, using summaries and visuals, so that conclusions can be communicated effectively to stakeholders.</w:t>
      </w:r>
    </w:p>
    <w:p w14:paraId="2DD5E6F1">
      <w:pPr>
        <w:pStyle w:val="14"/>
        <w:keepNext w:val="0"/>
        <w:keepLines w:val="0"/>
        <w:widowControl/>
        <w:suppressLineNumbers w:val="0"/>
        <w:bidi w:val="0"/>
      </w:pPr>
      <w:r>
        <w:t xml:space="preserve">These categories reflect standard industry practice for data analytics and forensic review roles in general, and are described here as </w:t>
      </w:r>
      <w:r>
        <w:rPr>
          <w:rStyle w:val="15"/>
        </w:rPr>
        <w:t>general context</w:t>
      </w:r>
      <w:r>
        <w:t xml:space="preserve"> rather than as a confirmed list of tools used in this specific simulation.</w:t>
      </w:r>
    </w:p>
    <w:p w14:paraId="776D8B54">
      <w:pPr>
        <w:pStyle w:val="4"/>
        <w:keepNext w:val="0"/>
        <w:keepLines w:val="0"/>
        <w:widowControl/>
        <w:suppressLineNumbers w:val="0"/>
        <w:bidi w:val="0"/>
      </w:pPr>
      <w:r>
        <w:t>4.7 System Architecture</w:t>
      </w:r>
    </w:p>
    <w:p w14:paraId="04FE6ACE">
      <w:pPr>
        <w:pStyle w:val="14"/>
        <w:keepNext w:val="0"/>
        <w:keepLines w:val="0"/>
        <w:widowControl/>
        <w:suppressLineNumbers w:val="0"/>
        <w:bidi w:val="0"/>
      </w:pPr>
      <w:r>
        <w:t xml:space="preserve">The following is a </w:t>
      </w:r>
      <w:r>
        <w:rPr>
          <w:rStyle w:val="15"/>
        </w:rPr>
        <w:t>logical, generalized workflow architecture</w:t>
      </w:r>
      <w:r>
        <w:t xml:space="preserve"> representing how a data analytics and forensic review process typically flows from raw input to communicated output. This is presented as a conceptual model for understanding the discipline, and </w:t>
      </w:r>
      <w:r>
        <w:rPr>
          <w:rStyle w:val="15"/>
        </w:rPr>
        <w:t>not</w:t>
      </w:r>
      <w:r>
        <w:t xml:space="preserve"> as a representation of Deloitte's actual internal systems or architecture, which were neither disclosed nor accessible during the simulation.</w:t>
      </w:r>
    </w:p>
    <w:p w14:paraId="4836BBB8">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6A4CA8F4">
      <w:pPr>
        <w:pStyle w:val="12"/>
        <w:keepNext w:val="0"/>
        <w:keepLines w:val="0"/>
        <w:widowControl/>
        <w:suppressLineNumbers w:val="0"/>
        <w:ind w:firstLine="500" w:firstLineChars="25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Data Inputs</w:t>
      </w:r>
    </w:p>
    <w:p w14:paraId="782F9680">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0DD33CB7">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378E2C0A">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Data Preparation</w:t>
      </w:r>
    </w:p>
    <w:p w14:paraId="193D3AAF">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72C059A2">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5AB79C99">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Data Analysis</w:t>
      </w:r>
    </w:p>
    <w:p w14:paraId="784814F8">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251EE6BF">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34EB6465">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Forensic Technology / Evidence Review</w:t>
      </w:r>
    </w:p>
    <w:p w14:paraId="0813FFFB">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6D09C990">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1B41E5D2">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Interpretation of Findings</w:t>
      </w:r>
    </w:p>
    <w:p w14:paraId="0EFC9A69">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6AE90909">
      <w:pPr>
        <w:pStyle w:val="12"/>
        <w:keepNext w:val="0"/>
        <w:keepLines w:val="0"/>
        <w:widowControl/>
        <w:suppressLineNumbers w:val="0"/>
        <w:rPr>
          <w:rStyle w:val="11"/>
          <w:rFonts w:hint="default" w:ascii="var(--font-mono)" w:hAnsi="var(--font-mono)" w:eastAsia="var(--font-mono)" w:cs="var(--font-mono)"/>
          <w:color w:val="EAECF0"/>
        </w:rPr>
      </w:pPr>
      <w:r>
        <w:rPr>
          <w:rStyle w:val="11"/>
          <w:rFonts w:hint="default" w:ascii="var(--font-mono)" w:hAnsi="var(--font-mono)" w:eastAsia="var(--font-mono)" w:cs="var(--font-mono)"/>
          <w:color w:val="EAECF0"/>
        </w:rPr>
        <w:t xml:space="preserve">             ▼</w:t>
      </w:r>
    </w:p>
    <w:p w14:paraId="035F70A3">
      <w:pPr>
        <w:pStyle w:val="12"/>
        <w:keepNext w:val="0"/>
        <w:keepLines w:val="0"/>
        <w:widowControl/>
        <w:suppressLineNumbers w:val="0"/>
        <w:rPr>
          <w:rFonts w:ascii="var(--font-mono)" w:hAnsi="var(--font-mono)" w:eastAsia="var(--font-mono)" w:cs="var(--font-mono)"/>
          <w:color w:val="EAECF0"/>
        </w:rPr>
      </w:pPr>
      <w:r>
        <w:rPr>
          <w:rStyle w:val="11"/>
          <w:rFonts w:hint="default" w:ascii="var(--font-mono)" w:hAnsi="var(--font-mono)" w:eastAsia="var(--font-mono)" w:cs="var(--font-mono)"/>
          <w:color w:val="EAECF0"/>
        </w:rPr>
        <w:t xml:space="preserve">   Communication / Reporting</w:t>
      </w:r>
    </w:p>
    <w:p w14:paraId="459F6CEA">
      <w:pPr>
        <w:pStyle w:val="14"/>
        <w:keepNext w:val="0"/>
        <w:keepLines w:val="0"/>
        <w:widowControl/>
        <w:suppressLineNumbers w:val="0"/>
        <w:bidi w:val="0"/>
      </w:pPr>
      <w:r>
        <w:rPr>
          <w:rStyle w:val="15"/>
        </w:rPr>
        <w:t>Stage-wise explanation:</w:t>
      </w:r>
    </w:p>
    <w:p w14:paraId="4691A0B2">
      <w:pPr>
        <w:keepNext w:val="0"/>
        <w:keepLines w:val="0"/>
        <w:widowControl/>
        <w:numPr>
          <w:ilvl w:val="0"/>
          <w:numId w:val="7"/>
        </w:numPr>
        <w:suppressLineNumbers w:val="0"/>
        <w:spacing w:before="0" w:beforeAutospacing="1" w:after="0" w:afterAutospacing="1"/>
        <w:ind w:left="720" w:hanging="360"/>
      </w:pPr>
      <w:r>
        <w:rPr>
          <w:rStyle w:val="15"/>
        </w:rPr>
        <w:t>Data Inputs:</w:t>
      </w:r>
      <w:r>
        <w:t xml:space="preserve"> Raw information relevant to the task at hand is identified and gathered. In a professional setting, this could originate from operational systems, records, or documentation.</w:t>
      </w:r>
    </w:p>
    <w:p w14:paraId="1BDF5955">
      <w:pPr>
        <w:keepNext w:val="0"/>
        <w:keepLines w:val="0"/>
        <w:widowControl/>
        <w:numPr>
          <w:ilvl w:val="0"/>
          <w:numId w:val="7"/>
        </w:numPr>
        <w:suppressLineNumbers w:val="0"/>
        <w:spacing w:before="0" w:beforeAutospacing="1" w:after="0" w:afterAutospacing="1"/>
        <w:ind w:left="720" w:hanging="360"/>
      </w:pPr>
      <w:r>
        <w:rPr>
          <w:rStyle w:val="15"/>
        </w:rPr>
        <w:t>Data Preparation:</w:t>
      </w:r>
      <w:r>
        <w:t xml:space="preserve"> The raw data is reviewed for completeness and consistency, with cleaning steps applied where necessary so that it is suitable for analysis.</w:t>
      </w:r>
    </w:p>
    <w:p w14:paraId="290F24A0">
      <w:pPr>
        <w:keepNext w:val="0"/>
        <w:keepLines w:val="0"/>
        <w:widowControl/>
        <w:numPr>
          <w:ilvl w:val="0"/>
          <w:numId w:val="7"/>
        </w:numPr>
        <w:suppressLineNumbers w:val="0"/>
        <w:spacing w:before="0" w:beforeAutospacing="1" w:after="0" w:afterAutospacing="1"/>
        <w:ind w:left="720" w:hanging="360"/>
      </w:pPr>
      <w:r>
        <w:rPr>
          <w:rStyle w:val="15"/>
        </w:rPr>
        <w:t>Data Analysis:</w:t>
      </w:r>
      <w:r>
        <w:t xml:space="preserve"> Structured analytical techniques are applied to identify patterns, trends, or relationships within the prepared data.</w:t>
      </w:r>
    </w:p>
    <w:p w14:paraId="21B4D3D2">
      <w:pPr>
        <w:keepNext w:val="0"/>
        <w:keepLines w:val="0"/>
        <w:widowControl/>
        <w:numPr>
          <w:ilvl w:val="0"/>
          <w:numId w:val="7"/>
        </w:numPr>
        <w:suppressLineNumbers w:val="0"/>
        <w:spacing w:before="0" w:beforeAutospacing="1" w:after="0" w:afterAutospacing="1"/>
        <w:ind w:left="720" w:hanging="360"/>
      </w:pPr>
      <w:r>
        <w:rPr>
          <w:rStyle w:val="15"/>
        </w:rPr>
        <w:t>Forensic Technology / Evidence Review:</w:t>
      </w:r>
      <w:r>
        <w:t xml:space="preserve"> A closer, more scrutiny-driven review is applied to identify irregularities, inconsistencies, or indicators that deviate from expected patterns — a step particularly relevant to forensic and investigative analytics.</w:t>
      </w:r>
    </w:p>
    <w:p w14:paraId="109F5131">
      <w:pPr>
        <w:keepNext w:val="0"/>
        <w:keepLines w:val="0"/>
        <w:widowControl/>
        <w:numPr>
          <w:ilvl w:val="0"/>
          <w:numId w:val="7"/>
        </w:numPr>
        <w:suppressLineNumbers w:val="0"/>
        <w:spacing w:before="0" w:beforeAutospacing="1" w:after="0" w:afterAutospacing="1"/>
        <w:ind w:left="720" w:hanging="360"/>
      </w:pPr>
      <w:r>
        <w:rPr>
          <w:rStyle w:val="15"/>
        </w:rPr>
        <w:t>Interpretation of Findings:</w:t>
      </w:r>
      <w:r>
        <w:t xml:space="preserve"> The analytical outputs are interpreted in the context of the original problem or question, translating raw results into meaningful conclusions.</w:t>
      </w:r>
    </w:p>
    <w:p w14:paraId="788EDC81">
      <w:pPr>
        <w:keepNext w:val="0"/>
        <w:keepLines w:val="0"/>
        <w:widowControl/>
        <w:numPr>
          <w:ilvl w:val="0"/>
          <w:numId w:val="7"/>
        </w:numPr>
        <w:suppressLineNumbers w:val="0"/>
        <w:spacing w:before="0" w:beforeAutospacing="1" w:after="0" w:afterAutospacing="1"/>
        <w:ind w:left="720" w:hanging="360"/>
      </w:pPr>
      <w:r>
        <w:rPr>
          <w:rStyle w:val="15"/>
        </w:rPr>
        <w:t>Communication / Reporting:</w:t>
      </w:r>
      <w:r>
        <w:t xml:space="preserve"> Findings are documented and presented in a clear, structured format suitable for stakeholders who may not have a technical background.</w:t>
      </w:r>
    </w:p>
    <w:p w14:paraId="5CEC5281">
      <w:pPr>
        <w:pStyle w:val="4"/>
        <w:keepNext w:val="0"/>
        <w:keepLines w:val="0"/>
        <w:widowControl/>
        <w:suppressLineNumbers w:val="0"/>
        <w:bidi w:val="0"/>
      </w:pPr>
    </w:p>
    <w:p w14:paraId="301FF090">
      <w:pPr>
        <w:pStyle w:val="4"/>
        <w:keepNext w:val="0"/>
        <w:keepLines w:val="0"/>
        <w:widowControl/>
        <w:suppressLineNumbers w:val="0"/>
        <w:bidi w:val="0"/>
      </w:pPr>
    </w:p>
    <w:p w14:paraId="73BFAD2F">
      <w:pPr>
        <w:pStyle w:val="4"/>
        <w:keepNext w:val="0"/>
        <w:keepLines w:val="0"/>
        <w:widowControl/>
        <w:suppressLineNumbers w:val="0"/>
        <w:bidi w:val="0"/>
      </w:pPr>
      <w:r>
        <w:t>4.8 Methodology</w:t>
      </w:r>
    </w:p>
    <w:p w14:paraId="06140019">
      <w:pPr>
        <w:pStyle w:val="14"/>
        <w:keepNext w:val="0"/>
        <w:keepLines w:val="0"/>
        <w:widowControl/>
        <w:suppressLineNumbers w:val="0"/>
        <w:bidi w:val="0"/>
      </w:pPr>
      <w:r>
        <w:t xml:space="preserve">The methodology followed in approaching this simulation — and reflected in this report — is a </w:t>
      </w:r>
      <w:r>
        <w:rPr>
          <w:rStyle w:val="15"/>
        </w:rPr>
        <w:t>generalized, logical workflow</w:t>
      </w:r>
      <w:r>
        <w:t xml:space="preserve"> applicable to analytical tasks of this nature. It is described here as a general best-practice approach and </w:t>
      </w:r>
      <w:r>
        <w:rPr>
          <w:rStyle w:val="15"/>
        </w:rPr>
        <w:t>not</w:t>
      </w:r>
      <w:r>
        <w:t xml:space="preserve"> as Deloitte's proprietary internal methodology, details of which were not part of the simulation's disclosed content.</w:t>
      </w:r>
    </w:p>
    <w:p w14:paraId="3A46E491">
      <w:pPr>
        <w:keepNext w:val="0"/>
        <w:keepLines w:val="0"/>
        <w:widowControl/>
        <w:numPr>
          <w:ilvl w:val="0"/>
          <w:numId w:val="8"/>
        </w:numPr>
        <w:suppressLineNumbers w:val="0"/>
        <w:spacing w:before="0" w:beforeAutospacing="1" w:after="0" w:afterAutospacing="1"/>
        <w:ind w:left="720" w:hanging="360"/>
      </w:pPr>
      <w:r>
        <w:rPr>
          <w:rStyle w:val="15"/>
        </w:rPr>
        <w:t>Understanding the Task:</w:t>
      </w:r>
      <w:r>
        <w:t xml:space="preserve"> The first step involved carefully reviewing the objective of each task area — data analysis and forensic technology — to understand what was expected before proceeding further.</w:t>
      </w:r>
    </w:p>
    <w:p w14:paraId="382B733B">
      <w:pPr>
        <w:keepNext w:val="0"/>
        <w:keepLines w:val="0"/>
        <w:widowControl/>
        <w:numPr>
          <w:ilvl w:val="0"/>
          <w:numId w:val="8"/>
        </w:numPr>
        <w:suppressLineNumbers w:val="0"/>
        <w:spacing w:before="0" w:beforeAutospacing="1" w:after="0" w:afterAutospacing="1"/>
        <w:ind w:left="720" w:hanging="360"/>
      </w:pPr>
      <w:r>
        <w:rPr>
          <w:rStyle w:val="15"/>
        </w:rPr>
        <w:t>Reviewing Information:</w:t>
      </w:r>
      <w:r>
        <w:t xml:space="preserve"> Available background material and instructions were reviewed to build context around the type of analysis required.</w:t>
      </w:r>
    </w:p>
    <w:p w14:paraId="1BAE4E41">
      <w:pPr>
        <w:keepNext w:val="0"/>
        <w:keepLines w:val="0"/>
        <w:widowControl/>
        <w:numPr>
          <w:ilvl w:val="0"/>
          <w:numId w:val="8"/>
        </w:numPr>
        <w:suppressLineNumbers w:val="0"/>
        <w:spacing w:before="0" w:beforeAutospacing="1" w:after="0" w:afterAutospacing="1"/>
        <w:ind w:left="720" w:hanging="360"/>
      </w:pPr>
      <w:r>
        <w:rPr>
          <w:rStyle w:val="15"/>
        </w:rPr>
        <w:t>Data Preparation:</w:t>
      </w:r>
      <w:r>
        <w:t xml:space="preserve"> Where applicable, information was organized and checked for consistency, ensuring it was in a usable state for analysis.</w:t>
      </w:r>
    </w:p>
    <w:p w14:paraId="7BC288EF">
      <w:pPr>
        <w:keepNext w:val="0"/>
        <w:keepLines w:val="0"/>
        <w:widowControl/>
        <w:numPr>
          <w:ilvl w:val="0"/>
          <w:numId w:val="8"/>
        </w:numPr>
        <w:suppressLineNumbers w:val="0"/>
        <w:spacing w:before="0" w:beforeAutospacing="1" w:after="0" w:afterAutospacing="1"/>
        <w:ind w:left="720" w:hanging="360"/>
      </w:pPr>
      <w:r>
        <w:rPr>
          <w:rStyle w:val="15"/>
        </w:rPr>
        <w:t>Data Analysis:</w:t>
      </w:r>
      <w:r>
        <w:t xml:space="preserve"> Analytical techniques were applied to examine the information systematically, looking for patterns, trends, and relationships relevant to the task.</w:t>
      </w:r>
    </w:p>
    <w:p w14:paraId="5176A350">
      <w:pPr>
        <w:keepNext w:val="0"/>
        <w:keepLines w:val="0"/>
        <w:widowControl/>
        <w:numPr>
          <w:ilvl w:val="0"/>
          <w:numId w:val="8"/>
        </w:numPr>
        <w:suppressLineNumbers w:val="0"/>
        <w:spacing w:before="0" w:beforeAutospacing="1" w:after="0" w:afterAutospacing="1"/>
        <w:ind w:left="720" w:hanging="360"/>
      </w:pPr>
      <w:r>
        <w:rPr>
          <w:rStyle w:val="15"/>
        </w:rPr>
        <w:t>Evidence / Forensic Review:</w:t>
      </w:r>
      <w:r>
        <w:t xml:space="preserve"> A more detailed, scrutiny-based review was undertaken to identify any irregularities or points warranting closer attention, consistent with the forensic technology component of the simulation.</w:t>
      </w:r>
    </w:p>
    <w:p w14:paraId="6A2C204B">
      <w:pPr>
        <w:keepNext w:val="0"/>
        <w:keepLines w:val="0"/>
        <w:widowControl/>
        <w:numPr>
          <w:ilvl w:val="0"/>
          <w:numId w:val="8"/>
        </w:numPr>
        <w:suppressLineNumbers w:val="0"/>
        <w:spacing w:before="0" w:beforeAutospacing="1" w:after="0" w:afterAutospacing="1"/>
        <w:ind w:left="720" w:hanging="360"/>
      </w:pPr>
      <w:r>
        <w:rPr>
          <w:rStyle w:val="15"/>
        </w:rPr>
        <w:t>Interpretation:</w:t>
      </w:r>
      <w:r>
        <w:t xml:space="preserve"> The results of the analysis and review were interpreted to draw meaningful, task-relevant conclusions.</w:t>
      </w:r>
    </w:p>
    <w:p w14:paraId="309D20C6">
      <w:pPr>
        <w:keepNext w:val="0"/>
        <w:keepLines w:val="0"/>
        <w:widowControl/>
        <w:numPr>
          <w:ilvl w:val="0"/>
          <w:numId w:val="8"/>
        </w:numPr>
        <w:suppressLineNumbers w:val="0"/>
        <w:spacing w:before="0" w:beforeAutospacing="1" w:after="0" w:afterAutospacing="1"/>
        <w:ind w:left="720" w:hanging="360"/>
      </w:pPr>
      <w:r>
        <w:rPr>
          <w:rStyle w:val="15"/>
        </w:rPr>
        <w:t>Communication:</w:t>
      </w:r>
      <w:r>
        <w:t xml:space="preserve"> Findings were structured and presented clearly, reflecting how a professional analyst would communicate results to stakeholders or a review panel.</w:t>
      </w:r>
    </w:p>
    <w:p w14:paraId="61F2069C">
      <w:pPr>
        <w:pStyle w:val="14"/>
        <w:keepNext w:val="0"/>
        <w:keepLines w:val="0"/>
        <w:widowControl/>
        <w:suppressLineNumbers w:val="0"/>
        <w:bidi w:val="0"/>
      </w:pPr>
      <w:r>
        <w:t>This step-by-step approach reflects a standard, widely taught analytical workflow rather than any confidential or firm-specific process, and is consistent with how data analytics and forensic review tasks are generally structured in academic and professional training contexts.</w:t>
      </w:r>
    </w:p>
    <w:p w14:paraId="5DA170FC">
      <w:pPr>
        <w:pStyle w:val="4"/>
        <w:keepNext w:val="0"/>
        <w:keepLines w:val="0"/>
        <w:widowControl/>
        <w:suppressLineNumbers w:val="0"/>
        <w:bidi w:val="0"/>
      </w:pPr>
      <w:r>
        <w:t>4.9 Expected Outcomes</w:t>
      </w:r>
    </w:p>
    <w:p w14:paraId="5EE864AF">
      <w:pPr>
        <w:pStyle w:val="14"/>
        <w:keepNext w:val="0"/>
        <w:keepLines w:val="0"/>
        <w:widowControl/>
        <w:suppressLineNumbers w:val="0"/>
        <w:bidi w:val="0"/>
      </w:pPr>
      <w:r>
        <w:t>Having completed the simulation, the following outcomes are identified as the key takeaways from this learning experience:</w:t>
      </w:r>
    </w:p>
    <w:p w14:paraId="3EC34FE6">
      <w:pPr>
        <w:keepNext w:val="0"/>
        <w:keepLines w:val="0"/>
        <w:widowControl/>
        <w:numPr>
          <w:ilvl w:val="0"/>
          <w:numId w:val="9"/>
        </w:numPr>
        <w:suppressLineNumbers w:val="0"/>
        <w:spacing w:before="0" w:beforeAutospacing="1" w:after="0" w:afterAutospacing="1"/>
        <w:ind w:left="720" w:hanging="360"/>
      </w:pPr>
      <w:r>
        <w:rPr>
          <w:rStyle w:val="15"/>
        </w:rPr>
        <w:t>Improved understanding of structured data analysis:</w:t>
      </w:r>
      <w:r>
        <w:t xml:space="preserve"> A clearer sense of how raw information is converted into actionable insights through a systematic process.</w:t>
      </w:r>
    </w:p>
    <w:p w14:paraId="203B43C2">
      <w:pPr>
        <w:keepNext w:val="0"/>
        <w:keepLines w:val="0"/>
        <w:widowControl/>
        <w:numPr>
          <w:ilvl w:val="0"/>
          <w:numId w:val="9"/>
        </w:numPr>
        <w:suppressLineNumbers w:val="0"/>
        <w:spacing w:before="0" w:beforeAutospacing="1" w:after="0" w:afterAutospacing="1"/>
        <w:ind w:left="720" w:hanging="360"/>
      </w:pPr>
      <w:r>
        <w:rPr>
          <w:rStyle w:val="15"/>
        </w:rPr>
        <w:t>Exposure to forensic technology as a discipline:</w:t>
      </w:r>
      <w:r>
        <w:t xml:space="preserve"> A foundational understanding of how analytical scrutiny is applied to detect irregularities, distinct from routine descriptive analysis.</w:t>
      </w:r>
    </w:p>
    <w:p w14:paraId="005A5F54">
      <w:pPr>
        <w:keepNext w:val="0"/>
        <w:keepLines w:val="0"/>
        <w:widowControl/>
        <w:numPr>
          <w:ilvl w:val="0"/>
          <w:numId w:val="9"/>
        </w:numPr>
        <w:suppressLineNumbers w:val="0"/>
        <w:spacing w:before="0" w:beforeAutospacing="1" w:after="0" w:afterAutospacing="1"/>
        <w:ind w:left="720" w:hanging="360"/>
      </w:pPr>
      <w:r>
        <w:rPr>
          <w:rStyle w:val="15"/>
        </w:rPr>
        <w:t>Strengthened analytical thinking:</w:t>
      </w:r>
      <w:r>
        <w:t xml:space="preserve"> Practice in breaking down a broad task into a logical sequence of smaller, manageable steps.</w:t>
      </w:r>
    </w:p>
    <w:p w14:paraId="332B9575">
      <w:pPr>
        <w:keepNext w:val="0"/>
        <w:keepLines w:val="0"/>
        <w:widowControl/>
        <w:numPr>
          <w:ilvl w:val="0"/>
          <w:numId w:val="9"/>
        </w:numPr>
        <w:suppressLineNumbers w:val="0"/>
        <w:spacing w:before="0" w:beforeAutospacing="1" w:after="0" w:afterAutospacing="1"/>
        <w:ind w:left="720" w:hanging="360"/>
      </w:pPr>
      <w:r>
        <w:rPr>
          <w:rStyle w:val="15"/>
        </w:rPr>
        <w:t>Awareness of professional communication standards:</w:t>
      </w:r>
      <w:r>
        <w:t xml:space="preserve"> An appreciation of how analytical findings need to be presented clearly and concisely for a business audience, rather than only for a technical one.</w:t>
      </w:r>
    </w:p>
    <w:p w14:paraId="43E8980E">
      <w:pPr>
        <w:keepNext w:val="0"/>
        <w:keepLines w:val="0"/>
        <w:widowControl/>
        <w:numPr>
          <w:ilvl w:val="0"/>
          <w:numId w:val="9"/>
        </w:numPr>
        <w:suppressLineNumbers w:val="0"/>
        <w:spacing w:before="0" w:beforeAutospacing="1" w:after="0" w:afterAutospacing="1"/>
        <w:ind w:left="720" w:hanging="360"/>
      </w:pPr>
      <w:r>
        <w:rPr>
          <w:rStyle w:val="15"/>
        </w:rPr>
        <w:t>Relevance to academic and career goals:</w:t>
      </w:r>
      <w:r>
        <w:t xml:space="preserve"> As a B.Tech CSE (Data Science) student targeting Software Development Engineer (SDE) and analytics-adjacent roles, this simulation reinforced the practical importance of structured problem-solving and data-driven reasoning that complements coursework and technical project work.</w:t>
      </w:r>
    </w:p>
    <w:p w14:paraId="45F6D63A">
      <w:pPr>
        <w:pStyle w:val="14"/>
        <w:keepNext w:val="0"/>
        <w:keepLines w:val="0"/>
        <w:widowControl/>
        <w:suppressLineNumbers w:val="0"/>
        <w:bidi w:val="0"/>
      </w:pPr>
      <w:r>
        <w:t>These outcomes are presented as general reflections on the learning value of the simulation, consistent with its self-paced, instructional nature.</w:t>
      </w:r>
    </w:p>
    <w:p w14:paraId="0A6CA9DC">
      <w:pPr>
        <w:pStyle w:val="4"/>
        <w:keepNext w:val="0"/>
        <w:keepLines w:val="0"/>
        <w:widowControl/>
        <w:suppressLineNumbers w:val="0"/>
        <w:bidi w:val="0"/>
      </w:pPr>
      <w:r>
        <w:t>4.10 Certificates of Completion and Other Communication Mail Proof</w:t>
      </w:r>
    </w:p>
    <w:p w14:paraId="63E04CA0">
      <w:pPr>
        <w:pStyle w:val="14"/>
        <w:keepNext w:val="0"/>
        <w:keepLines w:val="0"/>
        <w:widowControl/>
        <w:suppressLineNumbers w:val="0"/>
        <w:bidi w:val="0"/>
      </w:pPr>
      <w:r>
        <w:t xml:space="preserve">The </w:t>
      </w:r>
      <w:r>
        <w:rPr>
          <w:rStyle w:val="15"/>
        </w:rPr>
        <w:t>Deloitte Data Analytics Job Simulation — Certificate of Completion</w:t>
      </w:r>
      <w:r>
        <w:t xml:space="preserve">, issued on </w:t>
      </w:r>
      <w:r>
        <w:rPr>
          <w:rStyle w:val="15"/>
        </w:rPr>
        <w:t>May 28, 2026</w:t>
      </w:r>
      <w:r>
        <w:t xml:space="preserve">, and signed by </w:t>
      </w:r>
      <w:r>
        <w:rPr>
          <w:rStyle w:val="15"/>
        </w:rPr>
        <w:t>Tina McCreery, Chief Human Resources Officer, Deloitte</w:t>
      </w:r>
      <w:r>
        <w:t>, is attached with this report as proof of completion.</w:t>
      </w:r>
    </w:p>
    <w:p w14:paraId="305583A8">
      <w:pPr>
        <w:pStyle w:val="14"/>
        <w:keepNext w:val="0"/>
        <w:keepLines w:val="0"/>
        <w:widowControl/>
        <w:suppressLineNumbers w:val="0"/>
        <w:bidi w:val="0"/>
      </w:pPr>
      <w:r>
        <w:t>No additional communication mail proof (such as confirmation emails or correspondence) has been provided or attached, as none was available among the uploaded source materials at the time of preparing this report.</w:t>
      </w:r>
    </w:p>
    <w:p w14:paraId="057E4DB3">
      <w:pPr>
        <w:pStyle w:val="3"/>
        <w:keepNext w:val="0"/>
        <w:keepLines w:val="0"/>
        <w:widowControl/>
        <w:suppressLineNumbers w:val="0"/>
        <w:bidi w:val="0"/>
      </w:pPr>
      <w:r>
        <w:t>5. Bibliography / References</w:t>
      </w:r>
    </w:p>
    <w:p w14:paraId="64672230">
      <w:pPr>
        <w:keepNext w:val="0"/>
        <w:keepLines w:val="0"/>
        <w:widowControl/>
        <w:numPr>
          <w:ilvl w:val="0"/>
          <w:numId w:val="10"/>
        </w:numPr>
        <w:suppressLineNumbers w:val="0"/>
        <w:spacing w:before="0" w:beforeAutospacing="1" w:after="0" w:afterAutospacing="1"/>
        <w:ind w:left="720" w:hanging="360"/>
      </w:pPr>
      <w:r>
        <w:t xml:space="preserve">Deloitte. </w:t>
      </w:r>
      <w:r>
        <w:rPr>
          <w:rStyle w:val="10"/>
        </w:rPr>
        <w:t>Official Website.</w:t>
      </w:r>
      <w:r>
        <w:t xml:space="preserve"> Available at: </w:t>
        <w:fldChar w:fldCharType="begin"/>
        <w:instrText xml:space="preserve"> HYPERLINK "https://www2.deloitte.com" </w:instrText>
        <w:fldChar w:fldCharType="separate"/>
      </w:r>
      <w:r>
        <w:rPr>
          <w:rStyle w:val="13"/>
        </w:rPr>
        <w:t>https://www2.deloitte.com</w:t>
      </w:r>
      <w:r>
        <w:fldChar w:fldCharType="end"/>
      </w:r>
    </w:p>
    <w:p w14:paraId="36409440">
      <w:pPr>
        <w:keepNext w:val="0"/>
        <w:keepLines w:val="0"/>
        <w:widowControl/>
        <w:numPr>
          <w:ilvl w:val="0"/>
          <w:numId w:val="10"/>
        </w:numPr>
        <w:suppressLineNumbers w:val="0"/>
        <w:spacing w:before="0" w:beforeAutospacing="1" w:after="0" w:afterAutospacing="1"/>
        <w:ind w:left="720" w:hanging="360"/>
      </w:pPr>
      <w:r>
        <w:t xml:space="preserve">Forage. </w:t>
      </w:r>
      <w:r>
        <w:rPr>
          <w:rStyle w:val="10"/>
        </w:rPr>
        <w:t>Virtual Job Simulations — Deloitte.</w:t>
      </w:r>
      <w:r>
        <w:t xml:space="preserve"> Available at: </w:t>
        <w:fldChar w:fldCharType="begin"/>
        <w:instrText xml:space="preserve"> HYPERLINK "https://www.theforage.com" </w:instrText>
        <w:fldChar w:fldCharType="separate"/>
      </w:r>
      <w:r>
        <w:rPr>
          <w:rStyle w:val="13"/>
        </w:rPr>
        <w:t>https://www.theforage.com</w:t>
      </w:r>
      <w:r>
        <w:fldChar w:fldCharType="end"/>
      </w:r>
    </w:p>
    <w:p w14:paraId="3C819B5B">
      <w:pPr>
        <w:keepNext w:val="0"/>
        <w:keepLines w:val="0"/>
        <w:widowControl/>
        <w:numPr>
          <w:ilvl w:val="0"/>
          <w:numId w:val="10"/>
        </w:numPr>
        <w:suppressLineNumbers w:val="0"/>
        <w:spacing w:before="0" w:beforeAutospacing="1" w:after="0" w:afterAutospacing="1"/>
        <w:ind w:left="720" w:hanging="360"/>
      </w:pPr>
      <w:r>
        <w:t>Deloitte Data Analytics Job Simulation — Certificate of Completion, issued to Rajat Kumar, May 28, 2026.</w:t>
      </w:r>
    </w:p>
    <w:p w14:paraId="742D17C3">
      <w:pPr>
        <w:pStyle w:val="14"/>
        <w:keepNext w:val="0"/>
        <w:keepLines w:val="0"/>
        <w:widowControl/>
        <w:suppressLineNumbers w:val="0"/>
        <w:bidi w:val="0"/>
      </w:pPr>
      <w:r>
        <w:rPr>
          <w:rStyle w:val="10"/>
        </w:rPr>
        <w:t>(Note: References are limited to sources directly relevant to the simulation platform and issuing organization, in line with the instruction to avoid unsupported or unnecessary references.)</w:t>
      </w:r>
    </w:p>
    <w:p w14:paraId="7BA0BFD3">
      <w:pPr>
        <w:spacing w:line="397" w:lineRule="auto"/>
        <w:ind w:left="-5" w:right="870"/>
        <w:rPr>
          <w:b/>
        </w:rPr>
      </w:pPr>
      <w:bookmarkStart w:id="2" w:name="_GoBack"/>
      <w:bookmarkEnd w:id="2"/>
    </w:p>
    <w:sectPr>
      <w:pgSz w:w="12240" w:h="15840"/>
      <w:pgMar w:top="1401" w:right="1883" w:bottom="1372" w:left="1872" w:header="720" w:footer="720" w:gutter="0"/>
      <w:pgBorders w:offsetFrom="page">
        <w:top w:val="single" w:color="auto" w:sz="24" w:space="24"/>
        <w:left w:val="single" w:color="auto" w:sz="24" w:space="24"/>
        <w:bottom w:val="single" w:color="auto" w:sz="24" w:space="24"/>
        <w:right w:val="single" w:color="auto" w:sz="24"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203CA"/>
    <w:multiLevelType w:val="multilevel"/>
    <w:tmpl w:val="845203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CC648B"/>
    <w:multiLevelType w:val="multilevel"/>
    <w:tmpl w:val="93CC648B"/>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9A20D422"/>
    <w:multiLevelType w:val="multilevel"/>
    <w:tmpl w:val="9A20D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2DB7C0B"/>
    <w:multiLevelType w:val="multilevel"/>
    <w:tmpl w:val="A2DB7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8A0AEF"/>
    <w:multiLevelType w:val="multilevel"/>
    <w:tmpl w:val="C08A0A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40D140C"/>
    <w:multiLevelType w:val="multilevel"/>
    <w:tmpl w:val="D40D1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B407865"/>
    <w:multiLevelType w:val="multilevel"/>
    <w:tmpl w:val="2B407865"/>
    <w:lvl w:ilvl="0" w:tentative="0">
      <w:start w:val="1"/>
      <w:numFmt w:val="bullet"/>
      <w:lvlText w:val="•"/>
      <w:lvlJc w:val="left"/>
      <w:pPr>
        <w:ind w:left="677" w:hanging="677"/>
      </w:pPr>
      <w:rPr>
        <w:rFonts w:ascii="Arial" w:hAnsi="Arial" w:eastAsia="Arial" w:cs="Arial"/>
        <w:b w:val="0"/>
        <w:i w:val="0"/>
        <w:strike w:val="0"/>
        <w:color w:val="000000"/>
        <w:sz w:val="23"/>
        <w:szCs w:val="23"/>
        <w:u w:val="none"/>
        <w:shd w:val="clear" w:color="auto" w:fill="auto"/>
        <w:vertAlign w:val="baseline"/>
      </w:rPr>
    </w:lvl>
    <w:lvl w:ilvl="1" w:tentative="0">
      <w:start w:val="1"/>
      <w:numFmt w:val="bullet"/>
      <w:lvlText w:val="o"/>
      <w:lvlJc w:val="left"/>
      <w:pPr>
        <w:ind w:left="1418" w:hanging="1418"/>
      </w:pPr>
      <w:rPr>
        <w:rFonts w:ascii="Times New Roman" w:hAnsi="Times New Roman" w:eastAsia="Times New Roman" w:cs="Times New Roman"/>
        <w:b w:val="0"/>
        <w:i w:val="0"/>
        <w:strike w:val="0"/>
        <w:color w:val="000000"/>
        <w:sz w:val="23"/>
        <w:szCs w:val="23"/>
        <w:u w:val="none"/>
        <w:shd w:val="clear" w:color="auto" w:fill="auto"/>
        <w:vertAlign w:val="baseline"/>
      </w:rPr>
    </w:lvl>
    <w:lvl w:ilvl="2" w:tentative="0">
      <w:start w:val="1"/>
      <w:numFmt w:val="bullet"/>
      <w:lvlText w:val="▪"/>
      <w:lvlJc w:val="left"/>
      <w:pPr>
        <w:ind w:left="2138" w:hanging="2138"/>
      </w:pPr>
      <w:rPr>
        <w:rFonts w:ascii="Times New Roman" w:hAnsi="Times New Roman" w:eastAsia="Times New Roman" w:cs="Times New Roman"/>
        <w:b w:val="0"/>
        <w:i w:val="0"/>
        <w:strike w:val="0"/>
        <w:color w:val="000000"/>
        <w:sz w:val="23"/>
        <w:szCs w:val="23"/>
        <w:u w:val="none"/>
        <w:shd w:val="clear" w:color="auto" w:fill="auto"/>
        <w:vertAlign w:val="baseline"/>
      </w:rPr>
    </w:lvl>
    <w:lvl w:ilvl="3" w:tentative="0">
      <w:start w:val="1"/>
      <w:numFmt w:val="bullet"/>
      <w:lvlText w:val="•"/>
      <w:lvlJc w:val="left"/>
      <w:pPr>
        <w:ind w:left="2858" w:hanging="2858"/>
      </w:pPr>
      <w:rPr>
        <w:rFonts w:ascii="Times New Roman" w:hAnsi="Times New Roman" w:eastAsia="Times New Roman" w:cs="Times New Roman"/>
        <w:b w:val="0"/>
        <w:i w:val="0"/>
        <w:strike w:val="0"/>
        <w:color w:val="000000"/>
        <w:sz w:val="23"/>
        <w:szCs w:val="23"/>
        <w:u w:val="none"/>
        <w:shd w:val="clear" w:color="auto" w:fill="auto"/>
        <w:vertAlign w:val="baseline"/>
      </w:rPr>
    </w:lvl>
    <w:lvl w:ilvl="4" w:tentative="0">
      <w:start w:val="1"/>
      <w:numFmt w:val="bullet"/>
      <w:lvlText w:val="o"/>
      <w:lvlJc w:val="left"/>
      <w:pPr>
        <w:ind w:left="3578" w:hanging="3578"/>
      </w:pPr>
      <w:rPr>
        <w:rFonts w:ascii="Times New Roman" w:hAnsi="Times New Roman" w:eastAsia="Times New Roman" w:cs="Times New Roman"/>
        <w:b w:val="0"/>
        <w:i w:val="0"/>
        <w:strike w:val="0"/>
        <w:color w:val="000000"/>
        <w:sz w:val="23"/>
        <w:szCs w:val="23"/>
        <w:u w:val="none"/>
        <w:shd w:val="clear" w:color="auto" w:fill="auto"/>
        <w:vertAlign w:val="baseline"/>
      </w:rPr>
    </w:lvl>
    <w:lvl w:ilvl="5" w:tentative="0">
      <w:start w:val="1"/>
      <w:numFmt w:val="bullet"/>
      <w:lvlText w:val="▪"/>
      <w:lvlJc w:val="left"/>
      <w:pPr>
        <w:ind w:left="4298" w:hanging="4298"/>
      </w:pPr>
      <w:rPr>
        <w:rFonts w:ascii="Times New Roman" w:hAnsi="Times New Roman" w:eastAsia="Times New Roman" w:cs="Times New Roman"/>
        <w:b w:val="0"/>
        <w:i w:val="0"/>
        <w:strike w:val="0"/>
        <w:color w:val="000000"/>
        <w:sz w:val="23"/>
        <w:szCs w:val="23"/>
        <w:u w:val="none"/>
        <w:shd w:val="clear" w:color="auto" w:fill="auto"/>
        <w:vertAlign w:val="baseline"/>
      </w:rPr>
    </w:lvl>
    <w:lvl w:ilvl="6" w:tentative="0">
      <w:start w:val="1"/>
      <w:numFmt w:val="bullet"/>
      <w:lvlText w:val="•"/>
      <w:lvlJc w:val="left"/>
      <w:pPr>
        <w:ind w:left="5018" w:hanging="5018"/>
      </w:pPr>
      <w:rPr>
        <w:rFonts w:ascii="Times New Roman" w:hAnsi="Times New Roman" w:eastAsia="Times New Roman" w:cs="Times New Roman"/>
        <w:b w:val="0"/>
        <w:i w:val="0"/>
        <w:strike w:val="0"/>
        <w:color w:val="000000"/>
        <w:sz w:val="23"/>
        <w:szCs w:val="23"/>
        <w:u w:val="none"/>
        <w:shd w:val="clear" w:color="auto" w:fill="auto"/>
        <w:vertAlign w:val="baseline"/>
      </w:rPr>
    </w:lvl>
    <w:lvl w:ilvl="7" w:tentative="0">
      <w:start w:val="1"/>
      <w:numFmt w:val="bullet"/>
      <w:lvlText w:val="o"/>
      <w:lvlJc w:val="left"/>
      <w:pPr>
        <w:ind w:left="5738" w:hanging="5738"/>
      </w:pPr>
      <w:rPr>
        <w:rFonts w:ascii="Times New Roman" w:hAnsi="Times New Roman" w:eastAsia="Times New Roman" w:cs="Times New Roman"/>
        <w:b w:val="0"/>
        <w:i w:val="0"/>
        <w:strike w:val="0"/>
        <w:color w:val="000000"/>
        <w:sz w:val="23"/>
        <w:szCs w:val="23"/>
        <w:u w:val="none"/>
        <w:shd w:val="clear" w:color="auto" w:fill="auto"/>
        <w:vertAlign w:val="baseline"/>
      </w:rPr>
    </w:lvl>
    <w:lvl w:ilvl="8" w:tentative="0">
      <w:start w:val="1"/>
      <w:numFmt w:val="bullet"/>
      <w:lvlText w:val="▪"/>
      <w:lvlJc w:val="left"/>
      <w:pPr>
        <w:ind w:left="6458" w:hanging="6458"/>
      </w:pPr>
      <w:rPr>
        <w:rFonts w:ascii="Times New Roman" w:hAnsi="Times New Roman" w:eastAsia="Times New Roman" w:cs="Times New Roman"/>
        <w:b w:val="0"/>
        <w:i w:val="0"/>
        <w:strike w:val="0"/>
        <w:color w:val="000000"/>
        <w:sz w:val="23"/>
        <w:szCs w:val="23"/>
        <w:u w:val="none"/>
        <w:shd w:val="clear" w:color="auto" w:fill="auto"/>
        <w:vertAlign w:val="baseline"/>
      </w:rPr>
    </w:lvl>
  </w:abstractNum>
  <w:abstractNum w:abstractNumId="7">
    <w:nsid w:val="2FE9D555"/>
    <w:multiLevelType w:val="multilevel"/>
    <w:tmpl w:val="2FE9D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E2EE7D9"/>
    <w:multiLevelType w:val="multilevel"/>
    <w:tmpl w:val="3E2EE7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477A022"/>
    <w:multiLevelType w:val="multilevel"/>
    <w:tmpl w:val="6477A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8"/>
  </w:num>
  <w:num w:numId="4">
    <w:abstractNumId w:val="2"/>
  </w:num>
  <w:num w:numId="5">
    <w:abstractNumId w:val="7"/>
  </w:num>
  <w:num w:numId="6">
    <w:abstractNumId w:val="3"/>
  </w:num>
  <w:num w:numId="7">
    <w:abstractNumId w:val="5"/>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 w:val="422013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4" w:lineRule="auto"/>
      <w:ind w:left="10" w:right="5"/>
      <w:jc w:val="both"/>
    </w:pPr>
    <w:rPr>
      <w:rFonts w:ascii="Times New Roman" w:hAnsi="Times New Roman" w:eastAsia="Times New Roman" w:cs="Times New Roman"/>
      <w:sz w:val="23"/>
      <w:szCs w:val="23"/>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uiPriority w:val="99"/>
    <w:rPr>
      <w:rFonts w:ascii="Courier New" w:hAnsi="Courier New"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8"/>
    <w:semiHidden/>
    <w:unhideWhenUsed/>
    <w:uiPriority w:val="99"/>
    <w:rPr>
      <w:color w:val="0000FF"/>
      <w:u w:val="single"/>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22"/>
    <w:rPr>
      <w:b/>
      <w:bCs/>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keepNext/>
      <w:keepLines/>
      <w:spacing w:before="480" w:after="120"/>
    </w:pPr>
    <w:rPr>
      <w:b/>
      <w:sz w:val="72"/>
      <w:szCs w:val="72"/>
    </w:rPr>
  </w:style>
  <w:style w:type="table" w:customStyle="1" w:styleId="18">
    <w:name w:val="_Style 11"/>
    <w:basedOn w:val="9"/>
    <w:qFormat/>
    <w:uiPriority w:val="0"/>
    <w:pPr>
      <w:spacing w:after="0" w:line="240" w:lineRule="auto"/>
    </w:pPr>
    <w:tblPr>
      <w:tblCellMar>
        <w:top w:w="48" w:type="dxa"/>
        <w:left w:w="97" w:type="dxa"/>
        <w:right w:w="49"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442</Words>
  <Characters>2299</Characters>
  <Lines>28</Lines>
  <Paragraphs>8</Paragraphs>
  <TotalTime>49</TotalTime>
  <ScaleCrop>false</ScaleCrop>
  <LinksUpToDate>false</LinksUpToDate>
  <CharactersWithSpaces>3865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2026-07-15T07:47:00Z</dcterms:created>
  <dc:creator>Research-lab</dc:creator>
  <cp:lastModifiedBy>Rajat Kumar</cp:lastModifiedBy>
  <dcterms:modified xsi:type="dcterms:W3CDTF">2026-09-02T17:54:10Z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eyJoZGlkIjoiZjUyZmNjMGRjMjViYjlmNjQ5Yjk4NThlMmEyNDc2N2EiLCJ1c2VySWQiOiI1Njc2NDU3MjAyMzIifQ==</vt:lpwstr>
  </property>
  <property fmtid="{D5CDD505-2E9C-101B-9397-08002B2CF9AE}" pid="3" name="KSOProductBuildVer">
    <vt:lpwstr>1033-12.1.0.28032</vt:lpwstr>
  </property>
  <property fmtid="{D5CDD505-2E9C-101B-9397-08002B2CF9AE}" pid="4" name="ICV">
    <vt:lpwstr>0E7AFC75E8C74EE1A67A14669920D9E4_12</vt:lpwstr>
  </property>
</Properties>
</file>