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A924" w14:textId="77777777" w:rsidR="00843F46" w:rsidRDefault="00843F46" w:rsidP="003409EF">
      <w:pPr>
        <w:spacing w:before="360" w:after="40"/>
        <w:rPr>
          <w:rFonts w:ascii="Times New Roman" w:hAnsi="Times New Roman" w:cs="Times New Roman"/>
          <w:color w:val="F79646" w:themeColor="accent6"/>
        </w:rPr>
      </w:pPr>
    </w:p>
    <w:p w14:paraId="00F880D7" w14:textId="4D3A64A3" w:rsidR="003409EF" w:rsidRPr="00277638" w:rsidRDefault="003409EF" w:rsidP="003409EF">
      <w:pPr>
        <w:spacing w:before="360" w:after="40"/>
        <w:rPr>
          <w:color w:val="F79646" w:themeColor="accent6"/>
        </w:rPr>
      </w:pPr>
      <w:r w:rsidRPr="00EF4921">
        <w:rPr>
          <w:rFonts w:ascii="Times New Roman" w:hAnsi="Times New Roman" w:cs="Times New Roman"/>
          <w:color w:val="F79646" w:themeColor="accent6"/>
        </w:rPr>
        <w:t>Network &amp; Provisioning</w:t>
      </w:r>
    </w:p>
    <w:tbl>
      <w:tblPr>
        <w:tblStyle w:val="TableGrid"/>
        <w:tblW w:w="11590" w:type="dxa"/>
        <w:jc w:val="center"/>
        <w:tblLook w:val="04A0" w:firstRow="1" w:lastRow="0" w:firstColumn="1" w:lastColumn="0" w:noHBand="0" w:noVBand="1"/>
      </w:tblPr>
      <w:tblGrid>
        <w:gridCol w:w="3538"/>
        <w:gridCol w:w="8052"/>
      </w:tblGrid>
      <w:tr w:rsidR="003409EF" w:rsidRPr="004B25E6" w14:paraId="1C587C64" w14:textId="77777777" w:rsidTr="00286547">
        <w:trPr>
          <w:jc w:val="center"/>
        </w:trPr>
        <w:tc>
          <w:tcPr>
            <w:tcW w:w="3538" w:type="dxa"/>
            <w:shd w:val="clear" w:color="auto" w:fill="F79646" w:themeFill="accent6"/>
          </w:tcPr>
          <w:p w14:paraId="5873697B" w14:textId="77777777" w:rsidR="003409EF" w:rsidRPr="00EF4921" w:rsidRDefault="003409EF" w:rsidP="00286547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EF4921">
              <w:rPr>
                <w:rFonts w:ascii="Times New Roman" w:hAnsi="Times New Roman" w:cs="Times New Roman"/>
                <w:b/>
                <w:color w:val="FFFFFF" w:themeColor="background1"/>
                <w:sz w:val="21"/>
              </w:rPr>
              <w:t>Item</w:t>
            </w:r>
          </w:p>
        </w:tc>
        <w:tc>
          <w:tcPr>
            <w:tcW w:w="8052" w:type="dxa"/>
            <w:shd w:val="clear" w:color="auto" w:fill="F79646" w:themeFill="accent6"/>
          </w:tcPr>
          <w:p w14:paraId="5EA2886C" w14:textId="77777777" w:rsidR="003409EF" w:rsidRPr="00EF4921" w:rsidRDefault="003409EF" w:rsidP="00286547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EF4921">
              <w:rPr>
                <w:rFonts w:ascii="Times New Roman" w:hAnsi="Times New Roman" w:cs="Times New Roman"/>
                <w:b/>
                <w:color w:val="FFFFFF" w:themeColor="background1"/>
                <w:sz w:val="21"/>
              </w:rPr>
              <w:t>Why It Matters</w:t>
            </w:r>
          </w:p>
        </w:tc>
      </w:tr>
      <w:tr w:rsidR="003409EF" w:rsidRPr="004B25E6" w14:paraId="04EA9798" w14:textId="77777777" w:rsidTr="00286547">
        <w:trPr>
          <w:jc w:val="center"/>
        </w:trPr>
        <w:tc>
          <w:tcPr>
            <w:tcW w:w="3538" w:type="dxa"/>
          </w:tcPr>
          <w:p w14:paraId="09A8C40D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Devices configured to point at our server's public IP/domain, signaling port 9500, media port 9501</w:t>
            </w:r>
          </w:p>
        </w:tc>
        <w:tc>
          <w:tcPr>
            <w:tcW w:w="8052" w:type="dxa"/>
          </w:tcPr>
          <w:p w14:paraId="2A75D149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Devices dial out to us — there is no "call the device" model. This must be a persistent device-side configuration, not a one-off setting.</w:t>
            </w:r>
          </w:p>
        </w:tc>
      </w:tr>
      <w:tr w:rsidR="003409EF" w:rsidRPr="004B25E6" w14:paraId="4871DA6D" w14:textId="77777777" w:rsidTr="00286547">
        <w:trPr>
          <w:jc w:val="center"/>
        </w:trPr>
        <w:tc>
          <w:tcPr>
            <w:tcW w:w="3538" w:type="dxa"/>
          </w:tcPr>
          <w:p w14:paraId="36C64CEE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Confirmation of transport: cellular/public internet vs. LAN</w:t>
            </w:r>
          </w:p>
        </w:tc>
        <w:tc>
          <w:tcPr>
            <w:tcW w:w="8052" w:type="dxa"/>
          </w:tcPr>
          <w:p w14:paraId="70820E77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Determines whether our server needs a public IP with open firewall ports, or can remain on a private network.</w:t>
            </w:r>
          </w:p>
        </w:tc>
      </w:tr>
      <w:tr w:rsidR="003409EF" w:rsidRPr="004B25E6" w14:paraId="14276EBE" w14:textId="77777777" w:rsidTr="00286547">
        <w:trPr>
          <w:jc w:val="center"/>
        </w:trPr>
        <w:tc>
          <w:tcPr>
            <w:tcW w:w="3538" w:type="dxa"/>
          </w:tcPr>
          <w:p w14:paraId="52D5505A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New — TLS/security posture: does the device support TLS on these connections, or is it plain TCP only?</w:t>
            </w:r>
          </w:p>
        </w:tc>
        <w:tc>
          <w:tcPr>
            <w:tcW w:w="8052" w:type="dxa"/>
          </w:tcPr>
          <w:p w14:paraId="5C7874D8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Neither the protocol documentation nor our current implementation adds encryption. If devices are cellular and internet-facing, this is a real exposure question to raise with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Chemito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 xml:space="preserve"> now, before going live.</w:t>
            </w:r>
          </w:p>
        </w:tc>
      </w:tr>
      <w:tr w:rsidR="003409EF" w:rsidRPr="004B25E6" w14:paraId="6F81D305" w14:textId="77777777" w:rsidTr="00286547">
        <w:trPr>
          <w:jc w:val="center"/>
        </w:trPr>
        <w:tc>
          <w:tcPr>
            <w:tcW w:w="3538" w:type="dxa"/>
          </w:tcPr>
          <w:p w14:paraId="47D0348F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DSNO (device serial number) for every unit, mapped to the physical vehicle /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bus_id</w:t>
            </w:r>
            <w:proofErr w:type="spellEnd"/>
          </w:p>
        </w:tc>
        <w:tc>
          <w:tcPr>
            <w:tcW w:w="8052" w:type="dxa"/>
          </w:tcPr>
          <w:p w14:paraId="197D1B02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The DSNO is meaningless without a vehicle mapping — this is what drives every bridge start call.</w:t>
            </w:r>
          </w:p>
        </w:tc>
      </w:tr>
      <w:tr w:rsidR="003409EF" w:rsidRPr="004B25E6" w14:paraId="4DA9C1D4" w14:textId="77777777" w:rsidTr="00286547">
        <w:trPr>
          <w:jc w:val="center"/>
        </w:trPr>
        <w:tc>
          <w:tcPr>
            <w:tcW w:w="3538" w:type="dxa"/>
          </w:tcPr>
          <w:p w14:paraId="628968F7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Confirmation of firmware/protocol version in use</w:t>
            </w:r>
          </w:p>
        </w:tc>
        <w:tc>
          <w:tcPr>
            <w:tcW w:w="8052" w:type="dxa"/>
          </w:tcPr>
          <w:p w14:paraId="4C8CB933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Our implementation targets one documented protocol revision; firmware drift may change message shapes.</w:t>
            </w:r>
          </w:p>
        </w:tc>
      </w:tr>
      <w:tr w:rsidR="003409EF" w:rsidRPr="004B25E6" w14:paraId="29A1A392" w14:textId="77777777" w:rsidTr="00286547">
        <w:trPr>
          <w:jc w:val="center"/>
        </w:trPr>
        <w:tc>
          <w:tcPr>
            <w:tcW w:w="3538" w:type="dxa"/>
          </w:tcPr>
          <w:p w14:paraId="047DB5DD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At least one unit physically available for a live test</w:t>
            </w:r>
          </w:p>
        </w:tc>
        <w:tc>
          <w:tcPr>
            <w:tcW w:w="8052" w:type="dxa"/>
          </w:tcPr>
          <w:p w14:paraId="65B69C93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Nothing here can be fully verified against fabricated or simulated data — this confirms that real H.264/HEVC video actually decodes end-to-end.</w:t>
            </w:r>
          </w:p>
        </w:tc>
      </w:tr>
    </w:tbl>
    <w:p w14:paraId="390CEEA8" w14:textId="77777777" w:rsidR="003409EF" w:rsidRPr="00EF4921" w:rsidRDefault="003409EF" w:rsidP="003409EF">
      <w:pPr>
        <w:pStyle w:val="Heading1"/>
        <w:jc w:val="both"/>
        <w:rPr>
          <w:rFonts w:ascii="Times New Roman" w:hAnsi="Times New Roman" w:cs="Times New Roman"/>
          <w:color w:val="F79646" w:themeColor="accent6"/>
        </w:rPr>
      </w:pPr>
    </w:p>
    <w:tbl>
      <w:tblPr>
        <w:tblStyle w:val="TableGrid"/>
        <w:tblW w:w="11448" w:type="dxa"/>
        <w:jc w:val="center"/>
        <w:tblLook w:val="04A0" w:firstRow="1" w:lastRow="0" w:firstColumn="1" w:lastColumn="0" w:noHBand="0" w:noVBand="1"/>
      </w:tblPr>
      <w:tblGrid>
        <w:gridCol w:w="5940"/>
        <w:gridCol w:w="5508"/>
      </w:tblGrid>
      <w:tr w:rsidR="003409EF" w:rsidRPr="004B25E6" w14:paraId="6B074446" w14:textId="77777777" w:rsidTr="00286547">
        <w:trPr>
          <w:jc w:val="center"/>
        </w:trPr>
        <w:tc>
          <w:tcPr>
            <w:tcW w:w="5940" w:type="dxa"/>
            <w:shd w:val="clear" w:color="auto" w:fill="F79646" w:themeFill="accent6"/>
          </w:tcPr>
          <w:p w14:paraId="402C7BF9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b/>
                <w:color w:val="FFFFFF"/>
                <w:sz w:val="21"/>
              </w:rPr>
              <w:t>Item</w:t>
            </w:r>
          </w:p>
        </w:tc>
        <w:tc>
          <w:tcPr>
            <w:tcW w:w="5508" w:type="dxa"/>
            <w:shd w:val="clear" w:color="auto" w:fill="F79646" w:themeFill="accent6"/>
          </w:tcPr>
          <w:p w14:paraId="059CCA3D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b/>
                <w:color w:val="FFFFFF"/>
                <w:sz w:val="21"/>
              </w:rPr>
              <w:t>Why It Matters</w:t>
            </w:r>
          </w:p>
        </w:tc>
      </w:tr>
      <w:tr w:rsidR="003409EF" w:rsidRPr="004B25E6" w14:paraId="0C063094" w14:textId="77777777" w:rsidTr="00286547">
        <w:trPr>
          <w:jc w:val="center"/>
        </w:trPr>
        <w:tc>
          <w:tcPr>
            <w:tcW w:w="5940" w:type="dxa"/>
          </w:tcPr>
          <w:p w14:paraId="10D32187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Recorded/historical video specification — the documentation defines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PayloadType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 xml:space="preserve"> 3 (recording download) and 4 (playback), a TSE ("time-shifting supported") flag, and error codes 52/53/34/121 referencing "remote sync playback" and geo-fenced downloads, but never documents the actual command to trigger any of it</w:t>
            </w:r>
          </w:p>
        </w:tc>
        <w:tc>
          <w:tcPr>
            <w:tcW w:w="5508" w:type="dxa"/>
          </w:tcPr>
          <w:p w14:paraId="0EB9E155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Without this, we can only ever retrieve live video from N9M devices, never pull their onboard recorded history (unlike Cast master, where this is fully documented).</w:t>
            </w:r>
          </w:p>
        </w:tc>
      </w:tr>
      <w:tr w:rsidR="003409EF" w:rsidRPr="004B25E6" w14:paraId="198DAF19" w14:textId="77777777" w:rsidTr="00286547">
        <w:trPr>
          <w:jc w:val="center"/>
        </w:trPr>
        <w:tc>
          <w:tcPr>
            <w:tcW w:w="5940" w:type="dxa"/>
          </w:tcPr>
          <w:p w14:paraId="6482682B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Confirmation of which STREAMTYPE values (0 = sub, 1 = main, 2 = mobile) are actually supported on real hardware</w:t>
            </w:r>
          </w:p>
        </w:tc>
        <w:tc>
          <w:tcPr>
            <w:tcW w:w="5508" w:type="dxa"/>
          </w:tcPr>
          <w:p w14:paraId="79E3219E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The documentation defines all three but does not guarantee that every device model implements all of them.</w:t>
            </w:r>
          </w:p>
        </w:tc>
      </w:tr>
      <w:tr w:rsidR="003409EF" w:rsidRPr="004B25E6" w14:paraId="0C5116D1" w14:textId="77777777" w:rsidTr="00286547">
        <w:trPr>
          <w:jc w:val="center"/>
        </w:trPr>
        <w:tc>
          <w:tcPr>
            <w:tcW w:w="5940" w:type="dxa"/>
          </w:tcPr>
          <w:p w14:paraId="6B831FEE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 xml:space="preserve">Confirmation that only 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StreamControlCmd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 xml:space="preserve"> 0/3/6 (Stop/Switch/</w:t>
            </w:r>
            <w:proofErr w:type="spellStart"/>
            <w:r w:rsidRPr="004B25E6">
              <w:rPr>
                <w:rFonts w:ascii="Times New Roman" w:hAnsi="Times New Roman" w:cs="Times New Roman"/>
                <w:sz w:val="21"/>
              </w:rPr>
              <w:t>SendMode</w:t>
            </w:r>
            <w:proofErr w:type="spellEnd"/>
            <w:r w:rsidRPr="004B25E6">
              <w:rPr>
                <w:rFonts w:ascii="Times New Roman" w:hAnsi="Times New Roman" w:cs="Times New Roman"/>
                <w:sz w:val="21"/>
              </w:rPr>
              <w:t>) work on real devices, per the documentation's own stated caveat that only these three are supported</w:t>
            </w:r>
          </w:p>
        </w:tc>
        <w:tc>
          <w:tcPr>
            <w:tcW w:w="5508" w:type="dxa"/>
          </w:tcPr>
          <w:p w14:paraId="206CE31A" w14:textId="77777777" w:rsidR="003409EF" w:rsidRPr="004B25E6" w:rsidRDefault="003409EF" w:rsidP="00286547">
            <w:pPr>
              <w:jc w:val="both"/>
              <w:rPr>
                <w:rFonts w:ascii="Times New Roman" w:hAnsi="Times New Roman" w:cs="Times New Roman"/>
              </w:rPr>
            </w:pPr>
            <w:r w:rsidRPr="004B25E6">
              <w:rPr>
                <w:rFonts w:ascii="Times New Roman" w:hAnsi="Times New Roman" w:cs="Times New Roman"/>
                <w:sz w:val="21"/>
              </w:rPr>
              <w:t>Resume/Pause/Audio/Framerate (1/2/4/5) are defined in the wire format, but the documentation itself states they are not implemented — worth confirming against current firmware.</w:t>
            </w:r>
          </w:p>
        </w:tc>
      </w:tr>
    </w:tbl>
    <w:p w14:paraId="1DE51683" w14:textId="77777777" w:rsidR="003409EF" w:rsidRPr="004B25E6" w:rsidRDefault="003409EF" w:rsidP="003409EF">
      <w:pPr>
        <w:jc w:val="both"/>
        <w:rPr>
          <w:rFonts w:ascii="Times New Roman" w:hAnsi="Times New Roman" w:cs="Times New Roman"/>
        </w:rPr>
      </w:pPr>
    </w:p>
    <w:p w14:paraId="051C7116" w14:textId="71C9013D" w:rsidR="00804EF0" w:rsidRPr="00C61E47" w:rsidRDefault="00804EF0" w:rsidP="00C61E47"/>
    <w:sectPr w:rsidR="00804EF0" w:rsidRPr="00C61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713051">
    <w:abstractNumId w:val="8"/>
  </w:num>
  <w:num w:numId="2" w16cid:durableId="1344936030">
    <w:abstractNumId w:val="6"/>
  </w:num>
  <w:num w:numId="3" w16cid:durableId="1817642088">
    <w:abstractNumId w:val="5"/>
  </w:num>
  <w:num w:numId="4" w16cid:durableId="216820176">
    <w:abstractNumId w:val="4"/>
  </w:num>
  <w:num w:numId="5" w16cid:durableId="1816607552">
    <w:abstractNumId w:val="7"/>
  </w:num>
  <w:num w:numId="6" w16cid:durableId="274211266">
    <w:abstractNumId w:val="3"/>
  </w:num>
  <w:num w:numId="7" w16cid:durableId="439564820">
    <w:abstractNumId w:val="2"/>
  </w:num>
  <w:num w:numId="8" w16cid:durableId="695084754">
    <w:abstractNumId w:val="1"/>
  </w:num>
  <w:num w:numId="9" w16cid:durableId="109251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FBE"/>
    <w:rsid w:val="0029639D"/>
    <w:rsid w:val="00326F90"/>
    <w:rsid w:val="003409EF"/>
    <w:rsid w:val="00361E13"/>
    <w:rsid w:val="004B25E6"/>
    <w:rsid w:val="00804EF0"/>
    <w:rsid w:val="00843F46"/>
    <w:rsid w:val="00981600"/>
    <w:rsid w:val="00AA1D8D"/>
    <w:rsid w:val="00B47730"/>
    <w:rsid w:val="00C61E47"/>
    <w:rsid w:val="00CB0664"/>
    <w:rsid w:val="00EF4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C6CF24-7AA3-45CE-8D17-BD77363C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 Sharma</cp:lastModifiedBy>
  <cp:revision>6</cp:revision>
  <dcterms:created xsi:type="dcterms:W3CDTF">2013-12-23T23:15:00Z</dcterms:created>
  <dcterms:modified xsi:type="dcterms:W3CDTF">2026-07-29T11:49:00Z</dcterms:modified>
  <cp:category/>
</cp:coreProperties>
</file>