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08005" w14:textId="01E9877C" w:rsidR="00977D84" w:rsidRPr="00E00720" w:rsidRDefault="00853CA6" w:rsidP="00E0072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0720">
        <w:rPr>
          <w:rFonts w:ascii="Times New Roman" w:hAnsi="Times New Roman" w:cs="Times New Roman"/>
          <w:b/>
          <w:bCs/>
          <w:sz w:val="28"/>
          <w:szCs w:val="28"/>
        </w:rPr>
        <w:t>THERMAL MODELING OF A CYCLINDERICAL LITHIUM-ION BATTERY IN 3D WITH COMSOL</w:t>
      </w:r>
    </w:p>
    <w:p w14:paraId="057CD10B" w14:textId="77777777" w:rsidR="00853CA6" w:rsidRPr="00E00720" w:rsidRDefault="00853CA6" w:rsidP="00E007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105487" w14:textId="77777777" w:rsidR="00E00720" w:rsidRDefault="00853CA6" w:rsidP="00E0072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0720">
        <w:rPr>
          <w:rFonts w:ascii="Times New Roman" w:hAnsi="Times New Roman" w:cs="Times New Roman"/>
          <w:b/>
          <w:bCs/>
          <w:sz w:val="28"/>
          <w:szCs w:val="28"/>
        </w:rPr>
        <w:t>Modelling</w:t>
      </w:r>
      <w:r w:rsidRPr="00E00720">
        <w:rPr>
          <w:rFonts w:ascii="Times New Roman" w:hAnsi="Times New Roman" w:cs="Times New Roman"/>
          <w:b/>
          <w:bCs/>
          <w:sz w:val="28"/>
          <w:szCs w:val="28"/>
        </w:rPr>
        <w:t xml:space="preserve"> 1D lithium-ion battery</w:t>
      </w:r>
    </w:p>
    <w:p w14:paraId="242BF3E8" w14:textId="5F534F26" w:rsidR="00853CA6" w:rsidRPr="00E00720" w:rsidRDefault="00853CA6" w:rsidP="00E0072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0720">
        <w:rPr>
          <w:rFonts w:ascii="Times New Roman" w:hAnsi="Times New Roman" w:cs="Times New Roman"/>
          <w:kern w:val="0"/>
          <w:sz w:val="28"/>
          <w:szCs w:val="28"/>
        </w:rPr>
        <w:t xml:space="preserve">This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model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 xml:space="preserve"> demonstrates the Lithium-Ion Battery interface for studying the discharge</w:t>
      </w:r>
      <w:r w:rsidR="00DC6524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and charge of a lithium-ion battery for a given set of material properties. The geometry is</w:t>
      </w:r>
      <w:r w:rsidR="00DC6524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in one dimension and the model is isothermal. Battery designers can use the model to</w:t>
      </w:r>
      <w:r w:rsidR="00DC6524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investigate the influence of various design parameters such as the choice of materials,</w:t>
      </w:r>
      <w:r w:rsidR="00DC6524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dimensions, and the particle sizes of the active materials — in this case, a carbon material</w:t>
      </w:r>
      <w:r w:rsidR="00DC6524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in the negative electrode and lithium manganese oxide (LiMn2O4 spinel) in the positive</w:t>
      </w:r>
      <w:r w:rsidR="00DC6524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electrode. You can also benefit from simulating battery performance under different</w:t>
      </w:r>
      <w:r w:rsidR="00DC6524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operating conditions and in different devices, for example, cell phones or laptop</w:t>
      </w:r>
      <w:r w:rsidR="00DC6524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computers.</w:t>
      </w:r>
    </w:p>
    <w:p w14:paraId="39FF6360" w14:textId="77777777" w:rsidR="00853CA6" w:rsidRPr="00E00720" w:rsidRDefault="00853CA6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kern w:val="0"/>
          <w:sz w:val="28"/>
          <w:szCs w:val="28"/>
        </w:rPr>
        <w:t>The model includes the following processes:</w:t>
      </w:r>
    </w:p>
    <w:p w14:paraId="159423E8" w14:textId="77777777" w:rsidR="00853CA6" w:rsidRPr="00E00720" w:rsidRDefault="00853CA6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kern w:val="0"/>
          <w:sz w:val="28"/>
          <w:szCs w:val="28"/>
        </w:rPr>
        <w:t>• Electronic current conduction in the electrodes</w:t>
      </w:r>
    </w:p>
    <w:p w14:paraId="1F64978F" w14:textId="77777777" w:rsidR="00853CA6" w:rsidRPr="00E00720" w:rsidRDefault="00853CA6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kern w:val="0"/>
          <w:sz w:val="28"/>
          <w:szCs w:val="28"/>
        </w:rPr>
        <w:t>• Ionic charge transport in the electrodes and electrolyte/separator</w:t>
      </w:r>
    </w:p>
    <w:p w14:paraId="4F45BF15" w14:textId="42E61172" w:rsidR="00853CA6" w:rsidRPr="00E00720" w:rsidRDefault="00853CA6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kern w:val="0"/>
          <w:sz w:val="28"/>
          <w:szCs w:val="28"/>
        </w:rPr>
        <w:t>• Material transport in the electrolyte, allowing for the introduction of the</w:t>
      </w:r>
      <w:r w:rsidR="00DC6524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effects of</w:t>
      </w:r>
      <w:r w:rsidR="00DC6524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concentration on ionic conductivity and concentration overpotential, which in this case</w:t>
      </w:r>
      <w:r w:rsidR="00DC6524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are obtained from experimental data</w:t>
      </w:r>
    </w:p>
    <w:p w14:paraId="41C076EC" w14:textId="77777777" w:rsidR="00853CA6" w:rsidRPr="00E00720" w:rsidRDefault="00853CA6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kern w:val="0"/>
          <w:sz w:val="28"/>
          <w:szCs w:val="28"/>
        </w:rPr>
        <w:t>• Material transport within the spherical particles that form the electrodes</w:t>
      </w:r>
    </w:p>
    <w:p w14:paraId="06681B8B" w14:textId="44435E27" w:rsidR="00853CA6" w:rsidRPr="00E00720" w:rsidRDefault="00853CA6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kern w:val="0"/>
          <w:sz w:val="28"/>
          <w:szCs w:val="28"/>
        </w:rPr>
        <w:t>• Butler–Volmer electrode kinetics using experimentally measured discharge curves for</w:t>
      </w:r>
      <w:r w:rsidR="00DC6524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the equilibrium potential</w:t>
      </w:r>
    </w:p>
    <w:p w14:paraId="4D7E9762" w14:textId="0353BDB5" w:rsidR="00CA36C5" w:rsidRPr="00E00720" w:rsidRDefault="00CA36C5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3EA17723" wp14:editId="457DE0C0">
            <wp:extent cx="5731510" cy="3702050"/>
            <wp:effectExtent l="0" t="0" r="2540" b="0"/>
            <wp:docPr id="31161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159" name="Picture 311615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33"/>
                    <a:stretch/>
                  </pic:blipFill>
                  <pic:spPr bwMode="auto"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52364" w14:textId="77777777" w:rsidR="00DC6524" w:rsidRPr="00E00720" w:rsidRDefault="00DC6524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4ECBDF8" w14:textId="1245C6D3" w:rsidR="00853CA6" w:rsidRDefault="00853CA6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b/>
          <w:bCs/>
          <w:kern w:val="0"/>
          <w:sz w:val="28"/>
          <w:szCs w:val="28"/>
        </w:rPr>
        <w:t>BOUNDARY CONDITIONS</w:t>
      </w:r>
    </w:p>
    <w:p w14:paraId="09415580" w14:textId="77777777" w:rsidR="00E00720" w:rsidRPr="00E00720" w:rsidRDefault="00E00720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1CD2B142" w14:textId="061C0153" w:rsidR="00853CA6" w:rsidRPr="00E00720" w:rsidRDefault="00853CA6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kern w:val="0"/>
          <w:sz w:val="28"/>
          <w:szCs w:val="28"/>
        </w:rPr>
        <w:t>For the electronic current balance, a potential of 0 V is set on the negative electrode’s</w:t>
      </w:r>
      <w:r w:rsidR="00DC6524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current collector/feeder boundary. At the positive electrode current</w:t>
      </w:r>
      <w:r w:rsidR="00DC6524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collector/feeder, the</w:t>
      </w:r>
      <w:r w:rsidR="00DC6524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current density is specified. In this model, the current density is cycled through a</w:t>
      </w:r>
      <w:r w:rsidR="00DC6524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discharge, followed by an interval of zero current, and a final charging stage. The inner</w:t>
      </w:r>
      <w:r w:rsidR="00DC6524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boundaries facing the separator are insulating for electric currents.</w:t>
      </w:r>
      <w:r w:rsidR="00DC6524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For the ionic charge balance in the electrolyte, the current collector/feeder boundaries are</w:t>
      </w:r>
      <w:r w:rsidR="00DC6524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insulating. Insulation boundary conditions also apply to the material balances.</w:t>
      </w:r>
      <w:r w:rsidR="00DC6524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At the particle surface in the local particle model, the material flux is determined by the</w:t>
      </w:r>
      <w:r w:rsidR="00DC6524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local electrochemical reaction rate.</w:t>
      </w:r>
    </w:p>
    <w:p w14:paraId="47EE148D" w14:textId="77777777" w:rsidR="00CA36C5" w:rsidRPr="00E00720" w:rsidRDefault="00CA36C5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56DFE0C0" w14:textId="3AEA13BE" w:rsidR="00853CA6" w:rsidRDefault="00853CA6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b/>
          <w:bCs/>
          <w:kern w:val="0"/>
          <w:sz w:val="28"/>
          <w:szCs w:val="28"/>
        </w:rPr>
        <w:t>MATERIAL</w:t>
      </w:r>
      <w:r w:rsidR="00DC6524" w:rsidRPr="00E00720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b/>
          <w:bCs/>
          <w:kern w:val="0"/>
          <w:sz w:val="28"/>
          <w:szCs w:val="28"/>
        </w:rPr>
        <w:t>PROPERTIES</w:t>
      </w:r>
    </w:p>
    <w:p w14:paraId="1F645E06" w14:textId="77777777" w:rsidR="00E00720" w:rsidRPr="00E00720" w:rsidRDefault="00E00720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701E1ADE" w14:textId="268781D3" w:rsidR="00853CA6" w:rsidRPr="00E00720" w:rsidRDefault="00853CA6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kern w:val="0"/>
          <w:sz w:val="28"/>
          <w:szCs w:val="28"/>
        </w:rPr>
        <w:t>The material properties are those of a typical lithium-ion battery. The electrolyte consists</w:t>
      </w:r>
      <w:r w:rsidR="00CA1905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 xml:space="preserve">of 2 M LiPF6 salt in 1:2 </w:t>
      </w:r>
      <w:r w:rsidR="00CA1905" w:rsidRPr="00E00720">
        <w:rPr>
          <w:rFonts w:ascii="Times New Roman" w:hAnsi="Times New Roman" w:cs="Times New Roman"/>
          <w:kern w:val="0"/>
          <w:sz w:val="28"/>
          <w:szCs w:val="28"/>
        </w:rPr>
        <w:t>EC: DMC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 xml:space="preserve"> (by volume) solvent and p(VDF-HFP). The electrode</w:t>
      </w:r>
      <w:r w:rsidR="00CA1905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materials are carbon-based material for the negative electrode and Li</w:t>
      </w:r>
      <w:r w:rsidRPr="00E00720">
        <w:rPr>
          <w:rFonts w:ascii="Times New Roman" w:hAnsi="Times New Roman" w:cs="Times New Roman"/>
          <w:i/>
          <w:iCs/>
          <w:kern w:val="0"/>
          <w:sz w:val="28"/>
          <w:szCs w:val="28"/>
        </w:rPr>
        <w:t>y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Mn2O4 for the</w:t>
      </w:r>
      <w:r w:rsidR="00CA1905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positive electrode.</w:t>
      </w:r>
      <w:r w:rsidR="00CA1905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The electrolyte conductivity and the equilibrium potential of the negative and positive</w:t>
      </w:r>
      <w:r w:rsidR="00CA1905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electrodes are composition dependent as given by experimentally measured data. This data</w:t>
      </w:r>
      <w:r w:rsidR="00CA1905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is either taken from the Material Library, or tabulated in interpolating functions in the</w:t>
      </w:r>
      <w:r w:rsidR="00CA1905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model. The properties vary significantly during the charge and discharge phases due to the</w:t>
      </w:r>
      <w:r w:rsidR="00CA1905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changes in composition.</w:t>
      </w:r>
      <w:r w:rsidR="00CA1905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14:paraId="1BB04BDB" w14:textId="77777777" w:rsidR="00CA1905" w:rsidRPr="00E00720" w:rsidRDefault="00CA1905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011C5AD" w14:textId="62B94831" w:rsidR="00DC6524" w:rsidRPr="00E00720" w:rsidRDefault="00DC6524" w:rsidP="00E00720">
      <w:pPr>
        <w:spacing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b/>
          <w:bCs/>
          <w:kern w:val="0"/>
          <w:sz w:val="28"/>
          <w:szCs w:val="28"/>
        </w:rPr>
        <w:t>RESULTS</w:t>
      </w:r>
    </w:p>
    <w:p w14:paraId="4FD4CBFF" w14:textId="77777777" w:rsidR="00E00720" w:rsidRDefault="00DC6524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b/>
          <w:bCs/>
          <w:kern w:val="0"/>
          <w:sz w:val="28"/>
          <w:szCs w:val="28"/>
        </w:rPr>
        <w:t>DISCHARGE</w:t>
      </w:r>
      <w:r w:rsidR="00CA1905" w:rsidRPr="00E00720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b/>
          <w:bCs/>
          <w:kern w:val="0"/>
          <w:sz w:val="28"/>
          <w:szCs w:val="28"/>
        </w:rPr>
        <w:t>CURVES</w:t>
      </w:r>
    </w:p>
    <w:p w14:paraId="4C0FE33C" w14:textId="77777777" w:rsidR="00E00720" w:rsidRDefault="00E00720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663E10F6" w14:textId="31A2C297" w:rsidR="00DC6524" w:rsidRPr="00E00720" w:rsidRDefault="00DC6524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kern w:val="0"/>
          <w:sz w:val="28"/>
          <w:szCs w:val="28"/>
        </w:rPr>
        <w:t xml:space="preserve">The battery is initially at a fully charged state. A first </w:t>
      </w:r>
      <w:r w:rsidR="00CA1905" w:rsidRPr="00E00720">
        <w:rPr>
          <w:rFonts w:ascii="Times New Roman" w:hAnsi="Times New Roman" w:cs="Times New Roman"/>
          <w:kern w:val="0"/>
          <w:sz w:val="28"/>
          <w:szCs w:val="28"/>
        </w:rPr>
        <w:t>modelling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 xml:space="preserve"> approach is to simulate</w:t>
      </w:r>
      <w:r w:rsidR="00CA1905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discharge at various current densities and then display the discharge curves. The results</w:t>
      </w:r>
      <w:r w:rsidR="00CA1905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show the capacity of the battery at different discharge rates. The end-of-discharge is</w:t>
      </w:r>
      <w:r w:rsidR="00CA1905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reached when the cell voltage drops below 3 V. The nominal discharge current density,</w:t>
      </w:r>
      <w:r w:rsidR="00CA1905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corresponding to the 1 C case below, is 17.5 A/m2. The 1 C rate corresponds to a</w:t>
      </w:r>
      <w:r w:rsidR="00CA1905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theoretical full discharge in one hour.</w:t>
      </w:r>
      <w:r w:rsidR="00CA1905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14:paraId="3745F79C" w14:textId="2EADEE93" w:rsidR="00CA36C5" w:rsidRPr="00E00720" w:rsidRDefault="00CA36C5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noProof/>
          <w:kern w:val="0"/>
          <w:sz w:val="28"/>
          <w:szCs w:val="28"/>
        </w:rPr>
        <w:lastRenderedPageBreak/>
        <w:drawing>
          <wp:inline distT="0" distB="0" distL="0" distR="0" wp14:anchorId="61A63AEB" wp14:editId="695C228E">
            <wp:extent cx="5731510" cy="3765550"/>
            <wp:effectExtent l="0" t="0" r="2540" b="6350"/>
            <wp:docPr id="843299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99907" name="Picture 84329990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11"/>
                    <a:stretch/>
                  </pic:blipFill>
                  <pic:spPr bwMode="auto"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849AE" w14:textId="77777777" w:rsidR="00CA1905" w:rsidRPr="00E00720" w:rsidRDefault="00CA1905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E2C6B6B" w14:textId="0FC218DB" w:rsidR="00DC6524" w:rsidRDefault="00DC6524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b/>
          <w:bCs/>
          <w:kern w:val="0"/>
          <w:sz w:val="28"/>
          <w:szCs w:val="28"/>
        </w:rPr>
        <w:t>DISCHARGE AND CHARGE CYCLE</w:t>
      </w:r>
    </w:p>
    <w:p w14:paraId="02BAB61C" w14:textId="77777777" w:rsidR="00E00720" w:rsidRPr="00E00720" w:rsidRDefault="00E00720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0832D0B6" w14:textId="29C1D23F" w:rsidR="00DC6524" w:rsidRPr="00E00720" w:rsidRDefault="00DC6524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kern w:val="0"/>
          <w:sz w:val="28"/>
          <w:szCs w:val="28"/>
        </w:rPr>
        <w:t>Figure depicts the discharge-charge cycle applied in the next step of the simulation. The</w:t>
      </w:r>
      <w:r w:rsidR="00CA1905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cycle applies 2000 s of discharge at nominal current density (case 1C above), 300 s at open</w:t>
      </w:r>
      <w:r w:rsidR="00CA1905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circuit, then 2000 s of charge at nominal current density, and finally open-circuit</w:t>
      </w:r>
      <w:r w:rsidR="00CA1905" w:rsidRPr="00E0072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conditions.</w:t>
      </w:r>
    </w:p>
    <w:p w14:paraId="53B0855B" w14:textId="3CCD34FB" w:rsidR="00CA36C5" w:rsidRPr="00E00720" w:rsidRDefault="00CA36C5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kern w:val="0"/>
          <w:sz w:val="28"/>
          <w:szCs w:val="28"/>
        </w:rPr>
        <w:lastRenderedPageBreak/>
        <w:drawing>
          <wp:inline distT="0" distB="0" distL="0" distR="0" wp14:anchorId="27765D7F" wp14:editId="0D7BB9C6">
            <wp:extent cx="5731510" cy="4202430"/>
            <wp:effectExtent l="0" t="0" r="2540" b="7620"/>
            <wp:docPr id="171154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40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17DF" w14:textId="77777777" w:rsidR="00E00720" w:rsidRPr="00E00720" w:rsidRDefault="00E00720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241372D5" w14:textId="50281ED3" w:rsidR="00E00720" w:rsidRDefault="00E00720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b/>
          <w:bCs/>
          <w:kern w:val="0"/>
          <w:sz w:val="28"/>
          <w:szCs w:val="28"/>
        </w:rPr>
        <w:t>THERMAL MODEL</w:t>
      </w:r>
    </w:p>
    <w:p w14:paraId="3BAAAD0C" w14:textId="77777777" w:rsidR="00E00720" w:rsidRPr="00E00720" w:rsidRDefault="00E00720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5BDD0AD3" w14:textId="57AE4F9E" w:rsidR="00E00720" w:rsidRPr="00E00720" w:rsidRDefault="00E00720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kern w:val="0"/>
          <w:sz w:val="28"/>
          <w:szCs w:val="28"/>
        </w:rPr>
        <w:t>The thermal model is made in 3D using the Heat Transfer in Solids and Fluids interface.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T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he geometry (see Figure) consists of the following domains:</w:t>
      </w:r>
    </w:p>
    <w:p w14:paraId="6742C48A" w14:textId="77777777" w:rsidR="00E00720" w:rsidRDefault="00E00720" w:rsidP="00E007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kern w:val="0"/>
          <w:sz w:val="28"/>
          <w:szCs w:val="28"/>
        </w:rPr>
        <w:t>Active battery material domain (wound sheets of cell material, 65 mm high, radius9 mm)</w:t>
      </w:r>
    </w:p>
    <w:p w14:paraId="4F1455E9" w14:textId="77777777" w:rsidR="00E00720" w:rsidRDefault="00E00720" w:rsidP="00E007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kern w:val="0"/>
          <w:sz w:val="28"/>
          <w:szCs w:val="28"/>
        </w:rPr>
        <w:t>Mandrel (nylon isolator around which the battery cell sheets are wound, 2 mm radius)</w:t>
      </w:r>
    </w:p>
    <w:p w14:paraId="20955B18" w14:textId="77777777" w:rsidR="00E00720" w:rsidRDefault="00E00720" w:rsidP="00E007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kern w:val="0"/>
          <w:sz w:val="28"/>
          <w:szCs w:val="28"/>
        </w:rPr>
        <w:t>Cylindrical battery connector on top of the battery (steel, 3 mm thick)</w:t>
      </w:r>
    </w:p>
    <w:p w14:paraId="161F02C6" w14:textId="38AB5980" w:rsidR="00E00720" w:rsidRPr="00E00720" w:rsidRDefault="00E00720" w:rsidP="00E007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kern w:val="0"/>
          <w:sz w:val="28"/>
          <w:szCs w:val="28"/>
        </w:rPr>
        <w:t>Flow compartment (air)</w:t>
      </w:r>
    </w:p>
    <w:p w14:paraId="55734BBE" w14:textId="395E92D1" w:rsidR="00E00720" w:rsidRPr="00E00720" w:rsidRDefault="00E00720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noProof/>
          <w:kern w:val="0"/>
          <w:sz w:val="28"/>
          <w:szCs w:val="28"/>
        </w:rPr>
        <w:lastRenderedPageBreak/>
        <w:drawing>
          <wp:inline distT="0" distB="0" distL="0" distR="0" wp14:anchorId="7C332AF9" wp14:editId="3D58BE5C">
            <wp:extent cx="5731510" cy="4359910"/>
            <wp:effectExtent l="0" t="0" r="2540" b="2540"/>
            <wp:docPr id="11640831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83105" name="Picture 11640831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0EFD" w14:textId="77777777" w:rsidR="00E00720" w:rsidRPr="00E00720" w:rsidRDefault="00E00720" w:rsidP="00E0072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0"/>
          <w:sz w:val="28"/>
          <w:szCs w:val="28"/>
        </w:rPr>
      </w:pPr>
    </w:p>
    <w:p w14:paraId="5E2C2579" w14:textId="089D15DB" w:rsidR="00E00720" w:rsidRDefault="00E00720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kern w:val="0"/>
          <w:sz w:val="28"/>
          <w:szCs w:val="28"/>
        </w:rPr>
        <w:t>The battery canister (0.25 mm thick) is not included as a domain in the geometry, since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the effect of the steel canister on the temperature profile are small, as can be seen in the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 xml:space="preserve">Thermal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Modelling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 xml:space="preserve"> of a Cylindrical Lithium-Ion Battery in 2D model. The heat source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term in the active battery material domain is however scaled to account for the lack of heat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generation in the current collectors, and for the canister thickness. This scaled heat source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is obtained by multiplying the volumetric heat source from the 1D Li-ion battery model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by two factors. The first factor is the fraction of the total 1D model in which heat is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generated. That is the sum of lengths of the negative electrode, separator and the positive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electrode, divided the total cell length, which also includes the lengths of the two current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collectors. The second factor is the fraction of the total 3D cylindrical cell geometry in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which heat is generated. The volume in which heat is generated is the total volume of the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cell (which includes both the homogenized wound layers of the battery material, the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central mandrel and the outer can), minus the volume of the mandrel and the volume of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the outer can. This heat source is then divided by the total volume of battery material,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which is the difference between the total cell volume and the mandrel volume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7D3387BE" w14:textId="77777777" w:rsidR="00E00720" w:rsidRDefault="00E00720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04E0D10" w14:textId="77777777" w:rsidR="00E00720" w:rsidRDefault="00E00720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0E2A7BF" w14:textId="77777777" w:rsidR="00E00720" w:rsidRPr="00E00720" w:rsidRDefault="00E00720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2D7AFDC1" w14:textId="77777777" w:rsidR="00E00720" w:rsidRPr="00E00720" w:rsidRDefault="00E00720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E804024" w14:textId="13099E7A" w:rsidR="00E00720" w:rsidRPr="00E00720" w:rsidRDefault="00E00720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>RESULT</w:t>
      </w:r>
    </w:p>
    <w:p w14:paraId="7FC45F8A" w14:textId="77777777" w:rsidR="00E00720" w:rsidRPr="00E00720" w:rsidRDefault="00E00720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24AEE8A5" w14:textId="6033C28C" w:rsidR="00E00720" w:rsidRPr="00E00720" w:rsidRDefault="00E00720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T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he temperature in the battery and streamlines for the flow at 1500 s. The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temperature maximum is located in the active battery material toward the thermally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isolated end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73B230F1" w14:textId="79AA023D" w:rsidR="00E00720" w:rsidRPr="00E00720" w:rsidRDefault="00E00720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0A24CFE8" wp14:editId="775B85CF">
            <wp:extent cx="5731510" cy="3992245"/>
            <wp:effectExtent l="0" t="0" r="2540" b="8255"/>
            <wp:docPr id="2624895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89549" name="Picture 2624895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2A0A" w14:textId="36226BB2" w:rsidR="00E00720" w:rsidRPr="00E00720" w:rsidRDefault="00E00720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Next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Figure shows the difference in battery temperature and airflow streamlines between the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coupled solution and the one-way solution. The differences are calculated using a Join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dataset. In this case, the one-way solution is very similar to the coupled one, since only the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fluid viscosity is temperature-dependent. The details of the flow pattern do change, but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with a magnitude that is only a few percent of the total fluid flow velocity. The one-way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calculation completes in a fraction of the time that the coupled calculation requires. This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 xml:space="preserve">usage of the </w:t>
      </w:r>
      <w:proofErr w:type="spellStart"/>
      <w:r w:rsidRPr="00E00720">
        <w:rPr>
          <w:rFonts w:ascii="Times New Roman" w:hAnsi="Times New Roman" w:cs="Times New Roman"/>
          <w:kern w:val="0"/>
          <w:sz w:val="28"/>
          <w:szCs w:val="28"/>
        </w:rPr>
        <w:t>Nonisothermal</w:t>
      </w:r>
      <w:proofErr w:type="spellEnd"/>
      <w:r w:rsidRPr="00E00720">
        <w:rPr>
          <w:rFonts w:ascii="Times New Roman" w:hAnsi="Times New Roman" w:cs="Times New Roman"/>
          <w:kern w:val="0"/>
          <w:sz w:val="28"/>
          <w:szCs w:val="28"/>
        </w:rPr>
        <w:t xml:space="preserve"> Flow </w:t>
      </w:r>
      <w:proofErr w:type="spellStart"/>
      <w:r w:rsidRPr="00E00720">
        <w:rPr>
          <w:rFonts w:ascii="Times New Roman" w:hAnsi="Times New Roman" w:cs="Times New Roman"/>
          <w:kern w:val="0"/>
          <w:sz w:val="28"/>
          <w:szCs w:val="28"/>
        </w:rPr>
        <w:t>multiphysics</w:t>
      </w:r>
      <w:proofErr w:type="spellEnd"/>
      <w:r w:rsidRPr="00E00720">
        <w:rPr>
          <w:rFonts w:ascii="Times New Roman" w:hAnsi="Times New Roman" w:cs="Times New Roman"/>
          <w:kern w:val="0"/>
          <w:sz w:val="28"/>
          <w:szCs w:val="28"/>
        </w:rPr>
        <w:t xml:space="preserve"> feature in a one-way study to compute flow,</w:t>
      </w:r>
    </w:p>
    <w:p w14:paraId="5EDCE407" w14:textId="1417E044" w:rsidR="00E00720" w:rsidRPr="00E00720" w:rsidRDefault="00E00720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kern w:val="0"/>
          <w:sz w:val="28"/>
          <w:szCs w:val="28"/>
        </w:rPr>
        <w:t>heat, and the battery electrochemistry illustrates one key simplification that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might be used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in many thermal battery models. At the same time, checking the assumption is simple</w:t>
      </w:r>
      <w:r w:rsidRPr="00E00720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47AF331E" w14:textId="33B050D5" w:rsidR="00E00720" w:rsidRPr="00E00720" w:rsidRDefault="00E00720" w:rsidP="00E0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E00720">
        <w:rPr>
          <w:rFonts w:ascii="Times New Roman" w:hAnsi="Times New Roman" w:cs="Times New Roman"/>
          <w:noProof/>
          <w:kern w:val="0"/>
          <w:sz w:val="28"/>
          <w:szCs w:val="28"/>
        </w:rPr>
        <w:lastRenderedPageBreak/>
        <w:drawing>
          <wp:inline distT="0" distB="0" distL="0" distR="0" wp14:anchorId="0E19BA3F" wp14:editId="39060C94">
            <wp:extent cx="5731510" cy="4102100"/>
            <wp:effectExtent l="0" t="0" r="2540" b="0"/>
            <wp:docPr id="2549203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20383" name="Picture 2549203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FABB" w14:textId="77777777" w:rsidR="00853CA6" w:rsidRPr="00E00720" w:rsidRDefault="00853CA6" w:rsidP="00E007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3F0296" w14:textId="77777777" w:rsidR="00853CA6" w:rsidRPr="00E00720" w:rsidRDefault="00853CA6" w:rsidP="00E007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853CA6" w:rsidRPr="00E00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2F25D8"/>
    <w:multiLevelType w:val="hybridMultilevel"/>
    <w:tmpl w:val="F990B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F6D7E"/>
    <w:multiLevelType w:val="hybridMultilevel"/>
    <w:tmpl w:val="95846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0E5DE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183053">
    <w:abstractNumId w:val="1"/>
  </w:num>
  <w:num w:numId="2" w16cid:durableId="206690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A6"/>
    <w:rsid w:val="000F2B4E"/>
    <w:rsid w:val="00853CA6"/>
    <w:rsid w:val="008C56C1"/>
    <w:rsid w:val="00977D84"/>
    <w:rsid w:val="00CA1905"/>
    <w:rsid w:val="00CA36C5"/>
    <w:rsid w:val="00DC6524"/>
    <w:rsid w:val="00E0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64EF"/>
  <w15:chartTrackingRefBased/>
  <w15:docId w15:val="{326911A5-01B1-422C-AF54-7ED8D398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CA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3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0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Singla</dc:creator>
  <cp:keywords/>
  <dc:description/>
  <cp:lastModifiedBy>Rajat Singla</cp:lastModifiedBy>
  <cp:revision>4</cp:revision>
  <dcterms:created xsi:type="dcterms:W3CDTF">2024-08-19T08:49:00Z</dcterms:created>
  <dcterms:modified xsi:type="dcterms:W3CDTF">2024-08-19T11:40:00Z</dcterms:modified>
</cp:coreProperties>
</file>