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30"/>
          <w:szCs w:val="30"/>
        </w:rPr>
        <w:t xml:space="preserve">Paper 1 - Detailed Variable Descriptions</w:t>
      </w:r>
    </w:p>
    <w:p>
      <w:pPr>
        <w:spacing w:after="150"/>
        <w:jc w:val="center"/>
      </w:pPr>
      <w:r>
        <w:rPr>
          <w:i/>
          <w:iCs/>
          <w:sz w:val="20"/>
          <w:szCs w:val="20"/>
        </w:rPr>
        <w:t xml:space="preserve">Official descriptions of each variable used, with how each is used in the analysis</w:t>
      </w:r>
    </w:p>
    <w:p>
      <w:pPr>
        <w:spacing w:after="90" w:line="264"/>
        <w:jc w:val="left"/>
      </w:pPr>
      <w:r>
        <w:t xml:space="preserve">Descriptions for the HRRP Supplemental Data File are quoted from CMS's own "Variable Description" documentation (FY 2026 IPPS/LTCH PPS Final Rule); descriptions for the other files follow their official data dictionaries. Each entry adds a note on how the variable is used in this study.</w:t>
      </w:r>
    </w:p>
    <w:p>
      <w:pPr>
        <w:pStyle w:val="Heading1"/>
        <w:spacing w:after="70" w:before="220"/>
      </w:pPr>
      <w:r>
        <w:t xml:space="preserve">1. HRRP Supplemental Data File (FY2026)</w:t>
      </w:r>
    </w:p>
    <w:p>
      <w:pPr>
        <w:spacing w:after="70" w:line="264"/>
        <w:jc w:val="left"/>
      </w:pPr>
      <w:r>
        <w:rPr>
          <w:b/>
          <w:bCs/>
          <w:color w:val="1F3864"/>
        </w:rPr>
        <w:t xml:space="preserve">About this file. </w:t>
      </w:r>
      <w:r>
        <w:t xml:space="preserve">Published by CMS alongside each fiscal year's IPPS/LTCH PPS Final Rule. It contains the hospital-level inputs and results CMS uses to set Hospital Readmissions Reduction Program (HRRP) payment adjustments - the payment adjustment factor, the dual-eligibility peer grouping, and per-condition excess-readmission ratios with their dollar weights. The FY 2026 edition uses discharges from July 1, 2021 to June 30, 2024 and applies to discharges on or after October 1, 2025. It is the single file that lets us both reproduce the actual penalty and recompute it under an alternative peer grouping.</w:t>
      </w:r>
    </w:p>
    <w:p>
      <w:pPr>
        <w:spacing w:after="60" w:line="264"/>
        <w:jc w:val="left"/>
      </w:pPr>
      <w:r>
        <w:rPr>
          <w:b/>
          <w:bCs/>
        </w:rPr>
        <w:t xml:space="preserve">File: </w:t>
      </w:r>
      <w:r>
        <w:rPr>
          <w:rFonts w:ascii="Consolas" w:cs="Consolas" w:eastAsia="Consolas" w:hAnsi="Consolas"/>
          <w:sz w:val="18"/>
          <w:szCs w:val="18"/>
        </w:rPr>
        <w:t xml:space="preserve">data/raw/hrrp_impact_file.xlsx  -  sheet "FR FY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Hospital CCN</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Medicare Provider Number or CMS Certification Number (CCN). The file only includes open subsection (d) hospitals with measure results for at least one measure in the Hospital Readmissions Reduction Program. Maryland hospitals and hospitals that are not open as of the October 2025 public reporting open/closed list (published 4/9/2025) are excluded.</w:t>
            </w:r>
          </w:p>
          <w:p>
            <w:pPr>
              <w:spacing w:after="0" w:line="250"/>
            </w:pPr>
            <w:r>
              <w:rPr>
                <w:b/>
                <w:bCs/>
                <w:color w:val="1F3864"/>
                <w:sz w:val="18"/>
                <w:szCs w:val="18"/>
              </w:rPr>
              <w:t xml:space="preserve">Used in this paper: </w:t>
            </w:r>
            <w:r>
              <w:rPr>
                <w:sz w:val="18"/>
                <w:szCs w:val="18"/>
              </w:rPr>
              <w:t xml:space="preserve">Primary key linking the supplemental file to the ERR, hospital-information, Medicare-payment, and ADI data. Each row is one hospital - the unit of analysis.</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Payment adjustment factor (PAF)</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FY 2026 payment adjustment factor is based on discharges between July 1, 2021 and June 30, 2024 (the FY 2026 HRRP data period), using excess readmission ratios (ERRs) for six conditions/procedures: AMI, COPD, HF, pneumonia, CABG, and elective primary THA/TKA. It corresponds to the percentage a hospital's payments will be reduced. The minimum factor is 0.97 (3% maximum reduction) and the maximum is 1.0 (no reduction); higher factors mean lower reductions.</w:t>
            </w:r>
          </w:p>
          <w:p>
            <w:pPr>
              <w:spacing w:after="0" w:line="250"/>
            </w:pPr>
            <w:r>
              <w:rPr>
                <w:b/>
                <w:bCs/>
                <w:color w:val="1F3864"/>
                <w:sz w:val="18"/>
                <w:szCs w:val="18"/>
              </w:rPr>
              <w:t xml:space="preserve">Used in this paper: </w:t>
            </w:r>
            <w:r>
              <w:rPr>
                <w:sz w:val="18"/>
                <w:szCs w:val="18"/>
              </w:rPr>
              <w:t xml:space="preserve">The OBSERVED penalty. We reproduce it exactly from its components (validation gate: MAE 0.0002, r 0.99) and then recompute it after re-defining peer groups by community vulnerability.</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Payment reduction percentage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percentage a hospital's payments will be reduced based on its performance in the program. The minimum is 0% and the maximum is 3%. It equals (1 - payment adjustment factor).</w:t>
            </w:r>
          </w:p>
          <w:p>
            <w:pPr>
              <w:spacing w:after="0" w:line="250"/>
            </w:pPr>
            <w:r>
              <w:rPr>
                <w:b/>
                <w:bCs/>
                <w:color w:val="1F3864"/>
                <w:sz w:val="18"/>
                <w:szCs w:val="18"/>
              </w:rPr>
              <w:t xml:space="preserve">Used in this paper: </w:t>
            </w:r>
            <w:r>
              <w:rPr>
                <w:sz w:val="18"/>
                <w:szCs w:val="18"/>
              </w:rPr>
              <w:t xml:space="preserve">We work in payment-reduction terms; the per-hospital change is reported in percentage points of base operating DRG payments (Table 2).</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Dual proportion</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proportion of a hospital's Medicare fee-for-service and managed-care stays in which the patient was dually eligible for Medicare and full Medicaid benefits during the FY 2026 data period (July 1, 2021 - June 30, 2024). CMS identifies dual-eligible status from enrollment data in the Claims Data Repository and identifies stays from MedPAR files (FY 2021 - FY 2024).</w:t>
            </w:r>
          </w:p>
          <w:p>
            <w:pPr>
              <w:spacing w:after="0" w:line="250"/>
            </w:pPr>
            <w:r>
              <w:rPr>
                <w:b/>
                <w:bCs/>
                <w:color w:val="1F3864"/>
                <w:sz w:val="18"/>
                <w:szCs w:val="18"/>
              </w:rPr>
              <w:t xml:space="preserve">Used in this paper: </w:t>
            </w:r>
            <w:r>
              <w:rPr>
                <w:sz w:val="18"/>
                <w:szCs w:val="18"/>
              </w:rPr>
              <w:t xml:space="preserve">CMS's current peer-grouping variable - the comparator our SVI grouping replaces. Also a covariate in the adjusted regression testing whether community SVI adds outcome signal beyond dual-eligibility (it does not; p = 0.25).</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Peer group assignment</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Hospitals are sorted into five peer groups (quintiles) based on the dual proportion, numbered 1-5: peer group 1 has the lowest dual proportions and peer group 5 the highest. Since FY 2019, each hospital's performance on a measure is assessed relative to hospitals in the same peer group.</w:t>
            </w:r>
          </w:p>
          <w:p>
            <w:pPr>
              <w:spacing w:after="0" w:line="250"/>
            </w:pPr>
            <w:r>
              <w:rPr>
                <w:b/>
                <w:bCs/>
                <w:color w:val="1F3864"/>
                <w:sz w:val="18"/>
                <w:szCs w:val="18"/>
              </w:rPr>
              <w:t xml:space="preserve">Used in this paper: </w:t>
            </w:r>
            <w:r>
              <w:rPr>
                <w:sz w:val="18"/>
                <w:szCs w:val="18"/>
              </w:rPr>
              <w:t xml:space="preserve">Confirms our reproduction (the recovered groups match dual-proportion quintiles, 589 hospitals each). This is the grouping we REPLACE with SVI quintiles in the counterfactual.</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Neutrality modifier</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calculated value that equates total Medicare savings under the peer-grouping methodology (FY 2019 onward) with the non-peer-grouping methodology (FY 2013-2018).</w:t>
            </w:r>
          </w:p>
          <w:p>
            <w:pPr>
              <w:spacing w:after="0" w:line="250"/>
            </w:pPr>
            <w:r>
              <w:rPr>
                <w:b/>
                <w:bCs/>
                <w:color w:val="1F3864"/>
                <w:sz w:val="18"/>
                <w:szCs w:val="18"/>
              </w:rPr>
              <w:t xml:space="preserve">Used in this paper: </w:t>
            </w:r>
            <w:r>
              <w:rPr>
                <w:sz w:val="18"/>
                <w:szCs w:val="18"/>
              </w:rPr>
              <w:t xml:space="preserve">Enters the payment-adjustment-factor formula. We re-solve a single scaling of it (the factor k) so total penalty dollars are conserved under the SVI counterfactual (dollar-neutrality).</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Number of eligible discharges for &lt;condition&gt;  (6)</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number of eligible discharges for a measure cohort during the FY 2026 data period. Measures with fewer than 25 eligible discharges do not contribute to the payment-reduction calculation. Shows "." when a hospital has no eligible discharges for a measure.</w:t>
            </w:r>
          </w:p>
          <w:p>
            <w:pPr>
              <w:spacing w:after="0" w:line="250"/>
            </w:pPr>
            <w:r>
              <w:rPr>
                <w:b/>
                <w:bCs/>
                <w:color w:val="1F3864"/>
                <w:sz w:val="18"/>
                <w:szCs w:val="18"/>
              </w:rPr>
              <w:t xml:space="preserve">Used in this paper: </w:t>
            </w:r>
            <w:r>
              <w:rPr>
                <w:sz w:val="18"/>
                <w:szCs w:val="18"/>
              </w:rPr>
              <w:t xml:space="preserve">Determines which measures count; informational for our recomputation, which follows the same per-measure inputs.</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ERR for &lt;condition&gt;  (6)</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excess readmission ratio - the ratio of the predicted to the expected readmission rate for a measure - used by CMS to assess hospital performance. Shows "." when a hospital has no eligible discharges.</w:t>
            </w:r>
          </w:p>
          <w:p>
            <w:pPr>
              <w:spacing w:after="0" w:line="250"/>
            </w:pPr>
            <w:r>
              <w:rPr>
                <w:b/>
                <w:bCs/>
                <w:color w:val="1F3864"/>
                <w:sz w:val="18"/>
                <w:szCs w:val="18"/>
              </w:rPr>
              <w:t xml:space="preserve">Used in this paper: </w:t>
            </w:r>
            <w:r>
              <w:rPr>
                <w:sz w:val="18"/>
                <w:szCs w:val="18"/>
              </w:rPr>
              <w:t xml:space="preserve">The performance input to the penalty formula. We recompute the peer-group medians of these ERRs within SVI quintiles, and composite them (discharge-weighted) into the regression outcome.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Peer group median ERR for &lt;condition&gt;  (6)</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median ERR for the hospital's peer group for the measure - the threshold CMS uses to assess excess readmissions relative to other hospitals in the same peer group. All hospitals in a peer group share the same value.</w:t>
            </w:r>
          </w:p>
          <w:p>
            <w:pPr>
              <w:spacing w:after="0" w:line="250"/>
            </w:pPr>
            <w:r>
              <w:rPr>
                <w:b/>
                <w:bCs/>
                <w:color w:val="1F3864"/>
                <w:sz w:val="18"/>
                <w:szCs w:val="18"/>
              </w:rPr>
              <w:t xml:space="preserve">Used in this paper: </w:t>
            </w:r>
            <w:r>
              <w:rPr>
                <w:sz w:val="18"/>
                <w:szCs w:val="18"/>
              </w:rPr>
              <w:t xml:space="preserve">The benchmark a hospital is judged against. In the counterfactual we REPLACE it with the median ERR within the hospital's SVI quintile - the single policy lever we change.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DRG payment ratio for &lt;condition&gt;  (6)</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ratio of total base operating DRG payments for a measure to total base operating DRG payments across all stays - the weight attributed to excess readmissions (ERR minus peer-group median) for that measure in the payment-adjustment-factor formula. Source: FY 2021-2024 MedPAR files.</w:t>
            </w:r>
          </w:p>
          <w:p>
            <w:pPr>
              <w:spacing w:after="0" w:line="250"/>
            </w:pPr>
            <w:r>
              <w:rPr>
                <w:b/>
                <w:bCs/>
                <w:color w:val="1F3864"/>
                <w:sz w:val="18"/>
                <w:szCs w:val="18"/>
              </w:rPr>
              <w:t xml:space="preserve">Used in this paper: </w:t>
            </w:r>
            <w:r>
              <w:rPr>
                <w:sz w:val="18"/>
                <w:szCs w:val="18"/>
              </w:rPr>
              <w:t xml:space="preserve">Used unchanged as the dollar weight on each condition's excess when we recompute penalties under SVI grouping.</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Penalty indicator for &lt;condition&gt;  (6)</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"Y" if the hospital has 25+ eligible discharges and an ERR greater than the peer-group median ERR for the measure (so the ERR contributes to the payment-adjustment-factor formula); otherwise "N".</w:t>
            </w:r>
          </w:p>
          <w:p>
            <w:pPr>
              <w:spacing w:after="0" w:line="250"/>
            </w:pPr>
            <w:r>
              <w:rPr>
                <w:b/>
                <w:bCs/>
                <w:color w:val="1F3864"/>
                <w:sz w:val="18"/>
                <w:szCs w:val="18"/>
              </w:rPr>
              <w:t xml:space="preserve">Used in this paper: </w:t>
            </w:r>
            <w:r>
              <w:rPr>
                <w:sz w:val="18"/>
                <w:szCs w:val="18"/>
              </w:rPr>
              <w:t xml:space="preserve">Validation / informational - our reproduction reconstructs the same logic (ERR vs peer median) from the inputs.</w:t>
            </w:r>
          </w:p>
        </w:tc>
      </w:tr>
    </w:tbl>
    <w:p>
      <w:pPr>
        <w:pStyle w:val="Heading1"/>
        <w:spacing w:after="70" w:before="220"/>
      </w:pPr>
      <w:r>
        <w:t xml:space="preserve">2. HRRP Excess Readmission Ratios (FY2026)</w:t>
      </w:r>
    </w:p>
    <w:p>
      <w:pPr>
        <w:spacing w:after="70" w:line="264"/>
        <w:jc w:val="left"/>
      </w:pPr>
      <w:r>
        <w:rPr>
          <w:b/>
          <w:bCs/>
          <w:color w:val="1F3864"/>
        </w:rPr>
        <w:t xml:space="preserve">About this file. </w:t>
      </w:r>
      <w:r>
        <w:t xml:space="preserve">Part of CMS's public Hospital Compare data on the Provider Data Catalog. It reports each acute-care hospital's risk-standardized excess readmission ratio (ERR) for the six HRRP conditions, with discharge counts and the performance period, and is refreshed roughly annually. We use the FY 2026 release for the current-year robustness check.</w:t>
      </w:r>
    </w:p>
    <w:p>
      <w:pPr>
        <w:spacing w:after="60" w:line="264"/>
        <w:jc w:val="left"/>
      </w:pPr>
      <w:r>
        <w:rPr>
          <w:b/>
          <w:bCs/>
        </w:rPr>
        <w:t xml:space="preserve">File: </w:t>
      </w:r>
      <w:r>
        <w:rPr>
          <w:rFonts w:ascii="Consolas" w:cs="Consolas" w:eastAsia="Consolas" w:hAnsi="Consolas"/>
          <w:sz w:val="18"/>
          <w:szCs w:val="18"/>
        </w:rPr>
        <w:t xml:space="preserve">data/raw/hospital_readmissions.csv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Facility ID</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6-digit CMS Certification Number (CCN).</w:t>
            </w:r>
          </w:p>
          <w:p>
            <w:pPr>
              <w:spacing w:after="0" w:line="250"/>
            </w:pPr>
            <w:r>
              <w:rPr>
                <w:b/>
                <w:bCs/>
                <w:color w:val="1F3864"/>
                <w:sz w:val="18"/>
                <w:szCs w:val="18"/>
              </w:rPr>
              <w:t xml:space="preserve">Used in this paper: </w:t>
            </w:r>
            <w:r>
              <w:rPr>
                <w:sz w:val="18"/>
                <w:szCs w:val="18"/>
              </w:rPr>
              <w:t xml:space="preserve">Join key to hospital information, payments, and the supplemental file.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State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state (postal abbreviation).</w:t>
            </w:r>
          </w:p>
          <w:p>
            <w:pPr>
              <w:spacing w:after="0" w:line="250"/>
            </w:pPr>
            <w:r>
              <w:rPr>
                <w:b/>
                <w:bCs/>
                <w:color w:val="1F3864"/>
                <w:sz w:val="18"/>
                <w:szCs w:val="18"/>
              </w:rPr>
              <w:t xml:space="preserve">Used in this paper: </w:t>
            </w:r>
            <w:r>
              <w:rPr>
                <w:sz w:val="18"/>
                <w:szCs w:val="18"/>
              </w:rPr>
              <w:t xml:space="preserve">Census-region mapping and part of the hospital-to-county SVI join.</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Measure Name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readmission measure / condition, e.g. READM-30-AMI-HRRP (AMI, CABG, COPD, HF, HIP-KNEE, PN).</w:t>
            </w:r>
          </w:p>
          <w:p>
            <w:pPr>
              <w:spacing w:after="0" w:line="250"/>
            </w:pPr>
            <w:r>
              <w:rPr>
                <w:b/>
                <w:bCs/>
                <w:color w:val="1F3864"/>
                <w:sz w:val="18"/>
                <w:szCs w:val="18"/>
              </w:rPr>
              <w:t xml:space="preserve">Used in this paper: </w:t>
            </w:r>
            <w:r>
              <w:rPr>
                <w:sz w:val="18"/>
                <w:szCs w:val="18"/>
              </w:rPr>
              <w:t xml:space="preserve">Identifies which of the six conditions each ERR row belongs to.</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Number of Discharges</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number of eligible discharges used to compute the measure.</w:t>
            </w:r>
          </w:p>
          <w:p>
            <w:pPr>
              <w:spacing w:after="0" w:line="250"/>
            </w:pPr>
            <w:r>
              <w:rPr>
                <w:b/>
                <w:bCs/>
                <w:color w:val="1F3864"/>
                <w:sz w:val="18"/>
                <w:szCs w:val="18"/>
              </w:rPr>
              <w:t xml:space="preserve">Used in this paper: </w:t>
            </w:r>
            <w:r>
              <w:rPr>
                <w:sz w:val="18"/>
                <w:szCs w:val="18"/>
              </w:rPr>
              <w:t xml:space="preserve">Weight for the discharge-weighted mean ERR and the basis for the hospital-size (log discharges) covariate.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Excess Readmission Ratio (ERR)</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ratio of a hospital's predicted to expected 30-day readmissions for the condition (&gt;1 = worse than expected).</w:t>
            </w:r>
          </w:p>
          <w:p>
            <w:pPr>
              <w:spacing w:after="0" w:line="250"/>
            </w:pPr>
            <w:r>
              <w:rPr>
                <w:b/>
                <w:bCs/>
                <w:color w:val="1F3864"/>
                <w:sz w:val="18"/>
                <w:szCs w:val="18"/>
              </w:rPr>
              <w:t xml:space="preserve">Used in this paper: </w:t>
            </w:r>
            <w:r>
              <w:rPr>
                <w:sz w:val="18"/>
                <w:szCs w:val="18"/>
              </w:rPr>
              <w:t xml:space="preserve">Composited into mean_err_wt - the outcome in the adjusted regression and the metric for the FY2026 robustness flag.</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Predicted / Expected Readmission Rate; Number of Readmissions; Start/End Date; Footnote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Supporting risk-adjusted rates, counts, the performance period, and small-volume suppression notes.</w:t>
            </w:r>
          </w:p>
          <w:p>
            <w:pPr>
              <w:spacing w:after="0" w:line="250"/>
            </w:pPr>
            <w:r>
              <w:rPr>
                <w:b/>
                <w:bCs/>
                <w:color w:val="1F3864"/>
                <w:sz w:val="18"/>
                <w:szCs w:val="18"/>
              </w:rPr>
              <w:t xml:space="preserve">Used in this paper: </w:t>
            </w:r>
            <w:r>
              <w:rPr>
                <w:sz w:val="18"/>
                <w:szCs w:val="18"/>
              </w:rPr>
              <w:t xml:space="preserve">Context and provenance; not used directly in the core analysis.</w:t>
            </w:r>
          </w:p>
        </w:tc>
      </w:tr>
    </w:tbl>
    <w:p>
      <w:pPr>
        <w:pStyle w:val="Heading1"/>
        <w:spacing w:after="70" w:before="220"/>
      </w:pPr>
      <w:r>
        <w:t xml:space="preserve">3. Hospital General Information</w:t>
      </w:r>
    </w:p>
    <w:p>
      <w:pPr>
        <w:spacing w:after="70" w:line="264"/>
        <w:jc w:val="left"/>
      </w:pPr>
      <w:r>
        <w:rPr>
          <w:b/>
          <w:bCs/>
          <w:color w:val="1F3864"/>
        </w:rPr>
        <w:t xml:space="preserve">About this file. </w:t>
      </w:r>
      <w:r>
        <w:t xml:space="preserve">Also from the CMS Provider Data Catalog. A directory of Medicare-certified hospitals listing structural attributes - hospital type, ownership, location, and the overall star rating. It supplies the hospital characteristics used for cohort definition (acute-care vs critical-access), equity stratification (ownership), and geographic linkage (county).</w:t>
      </w:r>
    </w:p>
    <w:p>
      <w:pPr>
        <w:spacing w:after="60" w:line="264"/>
        <w:jc w:val="left"/>
      </w:pPr>
      <w:r>
        <w:rPr>
          <w:b/>
          <w:bCs/>
        </w:rPr>
        <w:t xml:space="preserve">File: </w:t>
      </w:r>
      <w:r>
        <w:rPr>
          <w:rFonts w:ascii="Consolas" w:cs="Consolas" w:eastAsia="Consolas" w:hAnsi="Consolas"/>
          <w:sz w:val="18"/>
          <w:szCs w:val="18"/>
        </w:rPr>
        <w:t xml:space="preserve">data/raw/hospital_general_info.csv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Facility ID</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6-digit CCN.</w:t>
            </w:r>
          </w:p>
          <w:p>
            <w:pPr>
              <w:spacing w:after="0" w:line="250"/>
            </w:pPr>
            <w:r>
              <w:rPr>
                <w:b/>
                <w:bCs/>
                <w:color w:val="1F3864"/>
                <w:sz w:val="18"/>
                <w:szCs w:val="18"/>
              </w:rPr>
              <w:t xml:space="preserve">Used in this paper: </w:t>
            </w:r>
            <w:r>
              <w:rPr>
                <w:sz w:val="18"/>
                <w:szCs w:val="18"/>
              </w:rPr>
              <w:t xml:space="preserve">Join key to the other CMS files.</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State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state.</w:t>
            </w:r>
          </w:p>
          <w:p>
            <w:pPr>
              <w:spacing w:after="0" w:line="250"/>
            </w:pPr>
            <w:r>
              <w:rPr>
                <w:b/>
                <w:bCs/>
                <w:color w:val="1F3864"/>
                <w:sz w:val="18"/>
                <w:szCs w:val="18"/>
              </w:rPr>
              <w:t xml:space="preserve">Used in this paper: </w:t>
            </w:r>
            <w:r>
              <w:rPr>
                <w:sz w:val="18"/>
                <w:szCs w:val="18"/>
              </w:rPr>
              <w:t xml:space="preserve">Region mapping and the county-SVI join.</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ZIP Code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5-digit ZIP code.</w:t>
            </w:r>
          </w:p>
          <w:p>
            <w:pPr>
              <w:spacing w:after="0" w:line="250"/>
            </w:pPr>
            <w:r>
              <w:rPr>
                <w:b/>
                <w:bCs/>
                <w:color w:val="1F3864"/>
                <w:sz w:val="18"/>
                <w:szCs w:val="18"/>
              </w:rPr>
              <w:t xml:space="preserve">Used in this paper: </w:t>
            </w:r>
            <w:r>
              <w:rPr>
                <w:sz w:val="18"/>
                <w:szCs w:val="18"/>
              </w:rPr>
              <w:t xml:space="preserve">Available for finer geographic linkage; not used in the current pipeline.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County/Parish</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county (or parish) name.</w:t>
            </w:r>
          </w:p>
          <w:p>
            <w:pPr>
              <w:spacing w:after="0" w:line="250"/>
            </w:pPr>
            <w:r>
              <w:rPr>
                <w:b/>
                <w:bCs/>
                <w:color w:val="1F3864"/>
                <w:sz w:val="18"/>
                <w:szCs w:val="18"/>
              </w:rPr>
              <w:t xml:space="preserve">Used in this paper: </w:t>
            </w:r>
            <w:r>
              <w:rPr>
                <w:sz w:val="18"/>
                <w:szCs w:val="18"/>
              </w:rPr>
              <w:t xml:space="preserve">Normalized (county_norm) and joined to county-level SVI and ADI.</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Hospital Type</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category of hospital (e.g., Acute Care Hospitals, Critical Access Hospitals).</w:t>
            </w:r>
          </w:p>
          <w:p>
            <w:pPr>
              <w:spacing w:after="0" w:line="250"/>
            </w:pPr>
            <w:r>
              <w:rPr>
                <w:b/>
                <w:bCs/>
                <w:color w:val="1F3864"/>
                <w:sz w:val="18"/>
                <w:szCs w:val="18"/>
              </w:rPr>
              <w:t xml:space="preserve">Used in this paper: </w:t>
            </w:r>
            <w:r>
              <w:rPr>
                <w:sz w:val="18"/>
                <w:szCs w:val="18"/>
              </w:rPr>
              <w:t xml:space="preserve">Restricts the cohort to acute-care (subsection-(d)) hospitals; critical-access hospitals are HRRP-exempt and excluded.</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Hospital Ownership</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hospital's ownership type (e.g., Voluntary non-profit, Proprietary, Government).</w:t>
            </w:r>
          </w:p>
          <w:p>
            <w:pPr>
              <w:spacing w:after="0" w:line="250"/>
            </w:pPr>
            <w:r>
              <w:rPr>
                <w:b/>
                <w:bCs/>
                <w:color w:val="1F3864"/>
                <w:sz w:val="18"/>
                <w:szCs w:val="18"/>
              </w:rPr>
              <w:t xml:space="preserve">Used in this paper: </w:t>
            </w:r>
            <w:r>
              <w:rPr>
                <w:sz w:val="18"/>
                <w:szCs w:val="18"/>
              </w:rPr>
              <w:t xml:space="preserve">Mapped to ownership_cat (For-profit / Nonprofit / Government) - an equity stratifier and a regression covariate.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Hospital overall rating</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CMS overall hospital quality star rating (1-5).</w:t>
            </w:r>
          </w:p>
          <w:p>
            <w:pPr>
              <w:spacing w:after="0" w:line="250"/>
            </w:pPr>
            <w:r>
              <w:rPr>
                <w:b/>
                <w:bCs/>
                <w:color w:val="1F3864"/>
                <w:sz w:val="18"/>
                <w:szCs w:val="18"/>
              </w:rPr>
              <w:t xml:space="preserve">Used in this paper: </w:t>
            </w:r>
            <w:r>
              <w:rPr>
                <w:sz w:val="18"/>
                <w:szCs w:val="18"/>
              </w:rPr>
              <w:t xml:space="preserve">Available; not used in this paper (the prior, accepted paper used it).</w:t>
            </w:r>
          </w:p>
        </w:tc>
      </w:tr>
    </w:tbl>
    <w:p>
      <w:pPr>
        <w:pStyle w:val="Heading1"/>
        <w:spacing w:after="70" w:before="220"/>
      </w:pPr>
      <w:r>
        <w:t xml:space="preserve">4. CDC/ATSDR Social Vulnerability Index 2022 (county)</w:t>
      </w:r>
    </w:p>
    <w:p>
      <w:pPr>
        <w:spacing w:after="70" w:line="264"/>
        <w:jc w:val="left"/>
      </w:pPr>
      <w:r>
        <w:rPr>
          <w:b/>
          <w:bCs/>
          <w:color w:val="1F3864"/>
        </w:rPr>
        <w:t xml:space="preserve">About this file. </w:t>
      </w:r>
      <w:r>
        <w:t xml:space="preserve">Produced about every two years by the CDC/ATSDR Geospatial Research, Analysis and Services Program (GRASP). The SVI ranks U.S. counties (and tracts) on 16 American Community Survey variables grouped into four themes, into an overall percentile of social vulnerability, to flag communities that may need support before, during, or after emergencies. The 2022 edition (released May 2024; based on 2018-2022 ACS data) is the most recent. It is the community-level social-risk measure we use to re-define HRRP peer groups.</w:t>
      </w:r>
    </w:p>
    <w:p>
      <w:pPr>
        <w:spacing w:after="60" w:line="264"/>
        <w:jc w:val="left"/>
      </w:pPr>
      <w:r>
        <w:rPr>
          <w:b/>
          <w:bCs/>
        </w:rPr>
        <w:t xml:space="preserve">File: </w:t>
      </w:r>
      <w:r>
        <w:rPr>
          <w:rFonts w:ascii="Consolas" w:cs="Consolas" w:eastAsia="Consolas" w:hAnsi="Consolas"/>
          <w:sz w:val="18"/>
          <w:szCs w:val="18"/>
        </w:rPr>
        <w:t xml:space="preserve">data/external/SVI_2022_US_county.csv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ST_ABBR</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State postal abbreviation.</w:t>
            </w:r>
          </w:p>
          <w:p>
            <w:pPr>
              <w:spacing w:after="0" w:line="250"/>
            </w:pPr>
            <w:r>
              <w:rPr>
                <w:b/>
                <w:bCs/>
                <w:color w:val="1F3864"/>
                <w:sz w:val="18"/>
                <w:szCs w:val="18"/>
              </w:rPr>
              <w:t xml:space="preserve">Used in this paper: </w:t>
            </w:r>
            <w:r>
              <w:rPr>
                <w:sz w:val="18"/>
                <w:szCs w:val="18"/>
              </w:rPr>
              <w:t xml:space="preserve">County-join key (state).</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COUNTY</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County name.</w:t>
            </w:r>
          </w:p>
          <w:p>
            <w:pPr>
              <w:spacing w:after="0" w:line="250"/>
            </w:pPr>
            <w:r>
              <w:rPr>
                <w:b/>
                <w:bCs/>
                <w:color w:val="1F3864"/>
                <w:sz w:val="18"/>
                <w:szCs w:val="18"/>
              </w:rPr>
              <w:t xml:space="preserve">Used in this paper: </w:t>
            </w:r>
            <w:r>
              <w:rPr>
                <w:sz w:val="18"/>
                <w:szCs w:val="18"/>
              </w:rPr>
              <w:t xml:space="preserve">Normalized county-join key (county_norm).</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FIPS</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5-digit county FIPS code.</w:t>
            </w:r>
          </w:p>
          <w:p>
            <w:pPr>
              <w:spacing w:after="0" w:line="250"/>
            </w:pPr>
            <w:r>
              <w:rPr>
                <w:b/>
                <w:bCs/>
                <w:color w:val="1F3864"/>
                <w:sz w:val="18"/>
                <w:szCs w:val="18"/>
              </w:rPr>
              <w:t xml:space="preserve">Used in this paper: </w:t>
            </w:r>
            <w:r>
              <w:rPr>
                <w:sz w:val="18"/>
                <w:szCs w:val="18"/>
              </w:rPr>
              <w:t xml:space="preserve">County identifier (county_fips) used to join the county-aggregated ADI.</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RPL_THEMES</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Overall Social Vulnerability Index: the percentile ranking of a county across all 16 census variables (0-1; higher = more socially vulnerable). Computed by summing the four theme rankings and re-ranking.</w:t>
            </w:r>
          </w:p>
          <w:p>
            <w:pPr>
              <w:spacing w:after="0" w:line="250"/>
            </w:pPr>
            <w:r>
              <w:rPr>
                <w:b/>
                <w:bCs/>
                <w:color w:val="1F3864"/>
                <w:sz w:val="18"/>
                <w:szCs w:val="18"/>
              </w:rPr>
              <w:t xml:space="preserve">Used in this paper: </w:t>
            </w:r>
            <w:r>
              <w:rPr>
                <w:sz w:val="18"/>
                <w:szCs w:val="18"/>
              </w:rPr>
              <w:t xml:space="preserve">THE primary social-risk index (svi_overall). Its national quintiles re-define the HRRP peer groups - the central exposure of the study.</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RPL_THEME1</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Theme 1 - Socioeconomic Status percentile (below 150% poverty, unemployment, housing-cost burden, no high-school diploma, no health insurance).</w:t>
            </w:r>
          </w:p>
          <w:p>
            <w:pPr>
              <w:spacing w:after="0" w:line="250"/>
            </w:pPr>
            <w:r>
              <w:rPr>
                <w:b/>
                <w:bCs/>
                <w:color w:val="1F3864"/>
                <w:sz w:val="18"/>
                <w:szCs w:val="18"/>
              </w:rPr>
              <w:t xml:space="preserve">Used in this paper: </w:t>
            </w:r>
            <w:r>
              <w:rPr>
                <w:sz w:val="18"/>
                <w:szCs w:val="18"/>
              </w:rPr>
              <w:t xml:space="preserve">Sub-theme sensitivity stratifier (svi_t1).</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RPL_THEME2</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Theme 2 - Household Characteristics percentile (aged 65+, aged 17 and under, disability, single-parent households, limited English).</w:t>
            </w:r>
          </w:p>
          <w:p>
            <w:pPr>
              <w:spacing w:after="0" w:line="250"/>
            </w:pPr>
            <w:r>
              <w:rPr>
                <w:b/>
                <w:bCs/>
                <w:color w:val="1F3864"/>
                <w:sz w:val="18"/>
                <w:szCs w:val="18"/>
              </w:rPr>
              <w:t xml:space="preserve">Used in this paper: </w:t>
            </w:r>
            <w:r>
              <w:rPr>
                <w:sz w:val="18"/>
                <w:szCs w:val="18"/>
              </w:rPr>
              <w:t xml:space="preserve">Sub-theme sensitivity stratifier (svi_t2).</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RPL_THEME3</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Theme 3 - Racial &amp; Ethnic Minority Status percentile.</w:t>
            </w:r>
          </w:p>
          <w:p>
            <w:pPr>
              <w:spacing w:after="0" w:line="250"/>
            </w:pPr>
            <w:r>
              <w:rPr>
                <w:b/>
                <w:bCs/>
                <w:color w:val="1F3864"/>
                <w:sz w:val="18"/>
                <w:szCs w:val="18"/>
              </w:rPr>
              <w:t xml:space="preserve">Used in this paper: </w:t>
            </w:r>
            <w:r>
              <w:rPr>
                <w:sz w:val="18"/>
                <w:szCs w:val="18"/>
              </w:rPr>
              <w:t xml:space="preserve">Sub-theme sensitivity stratifier (svi_t3).</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RPL_THEME4</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Theme 4 - Housing Type &amp; Transportation percentile (multi-unit / mobile homes, crowding, no vehicle, group quarters). A value of -999 denotes missing data.</w:t>
            </w:r>
          </w:p>
          <w:p>
            <w:pPr>
              <w:spacing w:after="0" w:line="250"/>
            </w:pPr>
            <w:r>
              <w:rPr>
                <w:b/>
                <w:bCs/>
                <w:color w:val="1F3864"/>
                <w:sz w:val="18"/>
                <w:szCs w:val="18"/>
              </w:rPr>
              <w:t xml:space="preserve">Used in this paper: </w:t>
            </w:r>
            <w:r>
              <w:rPr>
                <w:sz w:val="18"/>
                <w:szCs w:val="18"/>
              </w:rPr>
              <w:t xml:space="preserve">Sub-theme sensitivity stratifier (svi_t4); -999 recoded to missing.</w:t>
            </w:r>
          </w:p>
        </w:tc>
      </w:tr>
    </w:tbl>
    <w:p>
      <w:pPr>
        <w:pStyle w:val="Heading1"/>
        <w:spacing w:after="70" w:before="220"/>
      </w:pPr>
      <w:r>
        <w:t xml:space="preserve">5. Medicare Inpatient Hospitals - by Provider</w:t>
      </w:r>
    </w:p>
    <w:p>
      <w:pPr>
        <w:spacing w:after="70" w:line="264"/>
        <w:jc w:val="left"/>
      </w:pPr>
      <w:r>
        <w:rPr>
          <w:b/>
          <w:bCs/>
          <w:color w:val="1F3864"/>
        </w:rPr>
        <w:t xml:space="preserve">About this file. </w:t>
      </w:r>
      <w:r>
        <w:t xml:space="preserve">A CMS public-use file on data.cms.gov summarizing Medicare Part A inpatient utilization and payments aggregated to the provider. It reports total Medicare inpatient payments per hospital, which we use as the dollar base for translating penalty changes into dollars.</w:t>
      </w:r>
    </w:p>
    <w:p>
      <w:pPr>
        <w:spacing w:after="60" w:line="264"/>
        <w:jc w:val="left"/>
      </w:pPr>
      <w:r>
        <w:rPr>
          <w:b/>
          <w:bCs/>
        </w:rPr>
        <w:t xml:space="preserve">File: </w:t>
      </w:r>
      <w:r>
        <w:rPr>
          <w:rFonts w:ascii="Consolas" w:cs="Consolas" w:eastAsia="Consolas" w:hAnsi="Consolas"/>
          <w:sz w:val="18"/>
          <w:szCs w:val="18"/>
        </w:rPr>
        <w:t xml:space="preserve">data/external/medicare_inpatient_by_provider.csv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Rndrng_Prvdr_CCN</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The rendering provider's CMS Certification Number (CCN).</w:t>
            </w:r>
          </w:p>
          <w:p>
            <w:pPr>
              <w:spacing w:after="0" w:line="250"/>
            </w:pPr>
            <w:r>
              <w:rPr>
                <w:b/>
                <w:bCs/>
                <w:color w:val="1F3864"/>
                <w:sz w:val="18"/>
                <w:szCs w:val="18"/>
              </w:rPr>
              <w:t xml:space="preserve">Used in this paper: </w:t>
            </w:r>
            <w:r>
              <w:rPr>
                <w:sz w:val="18"/>
                <w:szCs w:val="18"/>
              </w:rPr>
              <w:t xml:space="preserve">Join key (ccn) to the analytic cohort.</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Tot_Mdcr_Pymt_Amt</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Total amount Medicare paid the hospital for inpatient services (after deductibles/coinsurance and secondary-payer amounts), summed across the provider for the data year.</w:t>
            </w:r>
          </w:p>
          <w:p>
            <w:pPr>
              <w:spacing w:after="0" w:line="250"/>
            </w:pPr>
            <w:r>
              <w:rPr>
                <w:b/>
                <w:bCs/>
                <w:color w:val="1F3864"/>
                <w:sz w:val="18"/>
                <w:szCs w:val="18"/>
              </w:rPr>
              <w:t xml:space="preserve">Used in this paper: </w:t>
            </w:r>
            <w:r>
              <w:rPr>
                <w:sz w:val="18"/>
                <w:szCs w:val="18"/>
              </w:rPr>
              <w:t xml:space="preserve">The dollar base (pay): converts percentage-point payment reductions into dollars and supplies the payment weights that enforce dollar-neutrality.</w:t>
            </w:r>
          </w:p>
        </w:tc>
      </w:tr>
    </w:tbl>
    <w:p>
      <w:pPr>
        <w:pStyle w:val="Heading1"/>
        <w:spacing w:after="70" w:before="220"/>
      </w:pPr>
      <w:r>
        <w:t xml:space="preserve">6. Area Deprivation Index 2023 (block group)</w:t>
      </w:r>
    </w:p>
    <w:p>
      <w:pPr>
        <w:spacing w:after="70" w:line="264"/>
        <w:jc w:val="left"/>
      </w:pPr>
      <w:r>
        <w:rPr>
          <w:b/>
          <w:bCs/>
          <w:color w:val="1F3864"/>
        </w:rPr>
        <w:t xml:space="preserve">About this file. </w:t>
      </w:r>
      <w:r>
        <w:t xml:space="preserve">Created by the University of Wisconsin's Neighborhood Atlas (Applied Population Lab). The ADI ranks neighborhoods (Census block groups) by socioeconomic disadvantage from American Community Survey data, providing national percentile and state decile ranks; the 2023 edition uses 2019-2023 ACS data and requires a free registration to download. We use it as an independent deprivation index for a cross-index robustness check against SVI.</w:t>
      </w:r>
    </w:p>
    <w:p>
      <w:pPr>
        <w:spacing w:after="60" w:line="264"/>
        <w:jc w:val="left"/>
      </w:pPr>
      <w:r>
        <w:rPr>
          <w:b/>
          <w:bCs/>
        </w:rPr>
        <w:t xml:space="preserve">File: </w:t>
      </w:r>
      <w:r>
        <w:rPr>
          <w:rFonts w:ascii="Consolas" w:cs="Consolas" w:eastAsia="Consolas" w:hAnsi="Consolas"/>
          <w:sz w:val="18"/>
          <w:szCs w:val="18"/>
        </w:rPr>
        <w:t xml:space="preserve">data/external/adi/US_2023_ADI_Census_Block_Group_v4_0_1.csv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6980"/>
      </w:tblGrid>
      <w:tr>
        <w:trPr>
          <w:tblHeader/>
        </w:trPr>
        <w:tc>
          <w:tcPr>
            <w:tcW w:type="dxa" w:w="238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b/>
                <w:bCs/>
                <w:sz w:val="18"/>
                <w:szCs w:val="18"/>
              </w:rPr>
              <w:t xml:space="preserve">Variable Name</w:t>
            </w:r>
          </w:p>
        </w:tc>
        <w:tc>
          <w:tcPr>
            <w:tcW w:type="dxa" w:w="6980"/>
            <w:tcBorders>
              <w:top w:val="single" w:color="BBBBBB" w:sz="1"/>
              <w:left w:val="single" w:color="BBBBBB" w:sz="1"/>
              <w:bottom w:val="single" w:color="BBBBBB" w:sz="1"/>
              <w:right w:val="single" w:color="BBBBBB" w:sz="1"/>
            </w:tcBorders>
            <w:shd w:fill="D5E8F0" w:val="clear"/>
            <w:tcMar>
              <w:top w:type="dxa" w:w="50"/>
              <w:left w:type="dxa" w:w="110"/>
              <w:bottom w:type="dxa" w:w="50"/>
              <w:right w:type="dxa" w:w="110"/>
            </w:tcMar>
          </w:tcPr>
          <w:p>
            <w:r>
              <w:rPr>
                <w:b/>
                <w:bCs/>
                <w:sz w:val="18"/>
                <w:szCs w:val="18"/>
              </w:rPr>
              <w:t xml:space="preserve">Variable Description (and how it is used in this paper)</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FIPS</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12-digit Census block-group FIPS code (the geographic unit at which ADI is generated; based on 2020 block groups).</w:t>
            </w:r>
          </w:p>
          <w:p>
            <w:pPr>
              <w:spacing w:after="0" w:line="250"/>
            </w:pPr>
            <w:r>
              <w:rPr>
                <w:b/>
                <w:bCs/>
                <w:color w:val="1F3864"/>
                <w:sz w:val="18"/>
                <w:szCs w:val="18"/>
              </w:rPr>
              <w:t xml:space="preserve">Used in this paper: </w:t>
            </w:r>
            <w:r>
              <w:rPr>
                <w:sz w:val="18"/>
                <w:szCs w:val="18"/>
              </w:rPr>
              <w:t xml:space="preserve">First five digits = county FIPS; used to aggregate ADI to county and join to the cohort.</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ADI_NATRANK</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National Area Deprivation Index percentile (1-100; higher = more disadvantaged), ranking each block group against all U.S. block groups, built from 2019-2023 ACS data.</w:t>
            </w:r>
          </w:p>
          <w:p>
            <w:pPr>
              <w:spacing w:after="0" w:line="250"/>
            </w:pPr>
            <w:r>
              <w:rPr>
                <w:b/>
                <w:bCs/>
                <w:color w:val="1F3864"/>
                <w:sz w:val="18"/>
                <w:szCs w:val="18"/>
              </w:rPr>
              <w:t xml:space="preserve">Used in this paper: </w:t>
            </w:r>
            <w:r>
              <w:rPr>
                <w:sz w:val="18"/>
                <w:szCs w:val="18"/>
              </w:rPr>
              <w:t xml:space="preserve">Aggregated to the county median (adi_county) - the independent deprivation index for the cross-index sensitivity vs SVI (Spearman rho 0.27).</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ADI_STATERNK</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State-level ADI decile (1-10), ranking a block group within its state.</w:t>
            </w:r>
          </w:p>
          <w:p>
            <w:pPr>
              <w:spacing w:after="0" w:line="250"/>
            </w:pPr>
            <w:r>
              <w:rPr>
                <w:b/>
                <w:bCs/>
                <w:color w:val="1F3864"/>
                <w:sz w:val="18"/>
                <w:szCs w:val="18"/>
              </w:rPr>
              <w:t xml:space="preserve">Used in this paper: </w:t>
            </w:r>
            <w:r>
              <w:rPr>
                <w:sz w:val="18"/>
                <w:szCs w:val="18"/>
              </w:rPr>
              <w:t xml:space="preserve">Available; not used in the analysis.</w:t>
            </w:r>
          </w:p>
        </w:tc>
      </w:tr>
      <w:tr>
        <w:tc>
          <w:tcPr>
            <w:tcW w:type="dxa" w:w="238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spacing w:after="0" w:line="248"/>
            </w:pPr>
            <w:r>
              <w:rPr>
                <w:b/>
                <w:bCs/>
                <w:sz w:val="18"/>
                <w:szCs w:val="18"/>
              </w:rPr>
              <w:t xml:space="preserve">GISJOIN</w:t>
            </w:r>
          </w:p>
        </w:tc>
        <w:tc>
          <w:tcPr>
            <w:tcW w:type="dxa" w:w="69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60" w:line="250"/>
            </w:pPr>
            <w:r>
              <w:rPr>
                <w:sz w:val="18"/>
                <w:szCs w:val="18"/>
              </w:rPr>
              <w:t xml:space="preserve">Key linkage field to the NHGIS block-group shapefile.</w:t>
            </w:r>
          </w:p>
          <w:p>
            <w:pPr>
              <w:spacing w:after="0" w:line="250"/>
            </w:pPr>
            <w:r>
              <w:rPr>
                <w:b/>
                <w:bCs/>
                <w:color w:val="1F3864"/>
                <w:sz w:val="18"/>
                <w:szCs w:val="18"/>
              </w:rPr>
              <w:t xml:space="preserve">Used in this paper: </w:t>
            </w:r>
            <w:r>
              <w:rPr>
                <w:sz w:val="18"/>
                <w:szCs w:val="18"/>
              </w:rPr>
              <w:t xml:space="preserve">Not used.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2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2026-06-26T13:17:49.315Z</dcterms:created>
  <dcterms:modified xsi:type="dcterms:W3CDTF">2026-06-26T13:17:49.316Z</dcterms:modified>
</cp:coreProperties>
</file>

<file path=docProps/custom.xml><?xml version="1.0" encoding="utf-8"?>
<Properties xmlns="http://schemas.openxmlformats.org/officeDocument/2006/custom-properties" xmlns:vt="http://schemas.openxmlformats.org/officeDocument/2006/docPropsVTypes"/>
</file>