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IT policy in IBM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IT policies are a set of rules  and regulations  used to manage  the IT resources  of the company.It provides a regulatory framework to utilise the company's IT infrastructure in an efficient manner and  minimise the risk associated with  IT resources.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IBM follows certain security principles in their IT policy which include protection and classification of data and assets. data and information is classified into separate categories and restrict  access  of  information on a business need to know basis.</w:t>
      </w:r>
    </w:p>
    <w:p w:rsidR="00000000" w:rsidDel="00000000" w:rsidP="00000000" w:rsidRDefault="00000000" w:rsidRPr="00000000" w14:paraId="00000006">
      <w:pPr>
        <w:rPr/>
      </w:pPr>
      <w:r w:rsidDel="00000000" w:rsidR="00000000" w:rsidRPr="00000000">
        <w:rPr>
          <w:rtl w:val="0"/>
        </w:rPr>
        <w:t xml:space="preserve">Another area of IT policy  is managing IT  resources. All the IT assets and resources are  properly registered and  follow a certain usage policy for each asset or group of assets.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Another area of IBM’s IT and security policy includes practicing access control. It outlines the management of access to the application and system to ensure security and minimise the risk. The access rights are assigned based on business need to know with privileged access granted   and revoked when no longer required.Access control policy emphasis on managing risk through user account management , user enforcement secure logon procedure,multi factor authentication etc.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IBM’s IT policies are developed based on several industrial standards and security frameworks such as National Institute of Standards and Technology (NIST) , International  Organisation for Standardisation (ISO).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Its security policy and standards are continuously reviewed through  various combinations of Framework and assessment such as SOC1,SOC2,SOX,FedRAMP,GDPR,HIPAA and other internal and external audits.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6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Intersoft Consulting (2018). </w:t>
      </w:r>
      <w:r w:rsidDel="00000000" w:rsidR="00000000" w:rsidRPr="00000000">
        <w:rPr>
          <w:rFonts w:ascii="Calibri" w:cs="Calibri" w:eastAsia="Calibri" w:hAnsi="Calibri"/>
          <w:i w:val="1"/>
          <w:sz w:val="27"/>
          <w:szCs w:val="27"/>
          <w:rtl w:val="0"/>
        </w:rPr>
        <w:t xml:space="preserve">Art. 5 GDPR – Principles relating to processing of personal data | General Data Protection Regulation (GDPR)</w:t>
      </w:r>
      <w:r w:rsidDel="00000000" w:rsidR="00000000" w:rsidRPr="00000000">
        <w:rPr>
          <w:rFonts w:ascii="Calibri" w:cs="Calibri" w:eastAsia="Calibri" w:hAnsi="Calibri"/>
          <w:sz w:val="27"/>
          <w:szCs w:val="27"/>
          <w:rtl w:val="0"/>
        </w:rPr>
        <w:t xml:space="preserve">. [online] General Data Protection Regulation (GDPR). Available at: https://gdpr-info.eu/art-5-gdpr/.</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7"/>
          <w:szCs w:val="27"/>
          <w:rtl w:val="0"/>
        </w:rPr>
        <w:t xml:space="preserve">Kime, C. (2023). </w:t>
      </w:r>
      <w:r w:rsidDel="00000000" w:rsidR="00000000" w:rsidRPr="00000000">
        <w:rPr>
          <w:rFonts w:ascii="Calibri" w:cs="Calibri" w:eastAsia="Calibri" w:hAnsi="Calibri"/>
          <w:i w:val="1"/>
          <w:sz w:val="27"/>
          <w:szCs w:val="27"/>
          <w:rtl w:val="0"/>
        </w:rPr>
        <w:t xml:space="preserve">Written IT Security Policies: Why You Need Them &amp; How to Create Them</w:t>
      </w:r>
      <w:r w:rsidDel="00000000" w:rsidR="00000000" w:rsidRPr="00000000">
        <w:rPr>
          <w:rFonts w:ascii="Calibri" w:cs="Calibri" w:eastAsia="Calibri" w:hAnsi="Calibri"/>
          <w:sz w:val="27"/>
          <w:szCs w:val="27"/>
          <w:rtl w:val="0"/>
        </w:rPr>
        <w:t xml:space="preserve">. [online] eSecurityPlanet. Available at: https://www.esecurityplanet.com/compliance/it-security-policies/.</w:t>
      </w:r>
      <w:r w:rsidDel="00000000" w:rsidR="00000000" w:rsidRPr="00000000">
        <w:rPr>
          <w:rtl w:val="0"/>
        </w:rPr>
      </w:r>
    </w:p>
    <w:p w:rsidR="00000000" w:rsidDel="00000000" w:rsidP="00000000" w:rsidRDefault="00000000" w:rsidRPr="00000000" w14:paraId="00000013">
      <w:pPr>
        <w:spacing w:line="36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www.ibm.com. (2023). </w:t>
      </w:r>
      <w:r w:rsidDel="00000000" w:rsidR="00000000" w:rsidRPr="00000000">
        <w:rPr>
          <w:rFonts w:ascii="Calibri" w:cs="Calibri" w:eastAsia="Calibri" w:hAnsi="Calibri"/>
          <w:i w:val="1"/>
          <w:sz w:val="27"/>
          <w:szCs w:val="27"/>
          <w:rtl w:val="0"/>
        </w:rPr>
        <w:t xml:space="preserve">IBM Enterprise IT Security</w:t>
      </w:r>
      <w:r w:rsidDel="00000000" w:rsidR="00000000" w:rsidRPr="00000000">
        <w:rPr>
          <w:rFonts w:ascii="Calibri" w:cs="Calibri" w:eastAsia="Calibri" w:hAnsi="Calibri"/>
          <w:sz w:val="27"/>
          <w:szCs w:val="27"/>
          <w:rtl w:val="0"/>
        </w:rPr>
        <w:t xml:space="preserve">. [online] Available at: https://www.ibm.com/support/pages/ibm-enterprise-it-security.</w:t>
      </w:r>
    </w:p>
    <w:p w:rsidR="00000000" w:rsidDel="00000000" w:rsidP="00000000" w:rsidRDefault="00000000" w:rsidRPr="00000000" w14:paraId="000000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5">
      <w:pPr>
        <w:spacing w:line="36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Panettieri, J. (2020). </w:t>
      </w:r>
      <w:r w:rsidDel="00000000" w:rsidR="00000000" w:rsidRPr="00000000">
        <w:rPr>
          <w:rFonts w:ascii="Calibri" w:cs="Calibri" w:eastAsia="Calibri" w:hAnsi="Calibri"/>
          <w:i w:val="1"/>
          <w:sz w:val="27"/>
          <w:szCs w:val="27"/>
          <w:rtl w:val="0"/>
        </w:rPr>
        <w:t xml:space="preserve">IBM’s Five Artificial Intelligence (AI) Policy Imperatives -</w:t>
      </w:r>
      <w:r w:rsidDel="00000000" w:rsidR="00000000" w:rsidRPr="00000000">
        <w:rPr>
          <w:rFonts w:ascii="Calibri" w:cs="Calibri" w:eastAsia="Calibri" w:hAnsi="Calibri"/>
          <w:sz w:val="27"/>
          <w:szCs w:val="27"/>
          <w:rtl w:val="0"/>
        </w:rPr>
        <w:t xml:space="preserve">. [online] ChannelE2E. Available at: https://www.channele2e.com/news/ibms-five-artificial-intelligence-policy-imperatives [Accessed 13 Dec. 2024].</w:t>
      </w:r>
    </w:p>
    <w:p w:rsidR="00000000" w:rsidDel="00000000" w:rsidP="00000000" w:rsidRDefault="00000000" w:rsidRPr="00000000" w14:paraId="000000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