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9"/>
        </w:rPr>
        <w:t>CLAIRE MORGAN</w:t>
      </w:r>
      <w:r>
        <w:br/>
      </w:r>
      <w:r>
        <w:rPr>
          <w:b w:val="0"/>
          <w:sz w:val="19"/>
        </w:rPr>
        <w:t>Attorney at Law · Morgan Law Office</w:t>
      </w:r>
      <w:r>
        <w:br/>
      </w:r>
      <w:r>
        <w:rPr>
          <w:b w:val="0"/>
          <w:sz w:val="19"/>
        </w:rPr>
        <w:t>[FIRM ADDRESS] · [TELEPHONE] · Bar No. [NUMBER]</w:t>
      </w:r>
    </w:p>
    <w:p>
      <w:pPr>
        <w:jc w:val="right"/>
      </w:pPr>
      <w:r>
        <w:rPr>
          <w:rFonts w:ascii="Courier New" w:hAnsi="Courier New"/>
          <w:b w:val="0"/>
          <w:sz w:val="19"/>
        </w:rPr>
        <w:t>Our ref. 2025-031-DAWSON</w:t>
      </w:r>
    </w:p>
    <w:p>
      <w:pPr>
        <w:jc w:val="center"/>
      </w:pPr>
      <w:r>
        <w:rPr>
          <w:b/>
        </w:rPr>
        <w:t>SUPREME COURT OF THE STATE OF NEW YORK</w:t>
      </w:r>
      <w:r>
        <w:br/>
      </w:r>
      <w:r>
        <w:rPr>
          <w:b w:val="0"/>
        </w:rPr>
        <w:t>COUNTY OF NEW YORK · Index No. [NUMBER]</w:t>
      </w:r>
    </w:p>
    <w:p>
      <w:r>
        <w:rPr>
          <w:b w:val="0"/>
        </w:rPr>
        <w:t>PAUL DAWSON, Plaintiff,</w:t>
      </w:r>
      <w:r>
        <w:br/>
      </w:r>
      <w:r>
        <w:rPr>
          <w:b w:val="0"/>
        </w:rPr>
        <w:t>— against —</w:t>
      </w:r>
      <w:r>
        <w:br/>
      </w:r>
      <w:r>
        <w:rPr>
          <w:b w:val="0"/>
        </w:rPr>
        <w:t>MARTIN DISTRIBUTION LLC, Defendant.</w:t>
      </w:r>
    </w:p>
    <w:p>
      <w:pPr>
        <w:pStyle w:val="Heading1"/>
        <w:jc w:val="center"/>
      </w:pPr>
      <w:r>
        <w:rPr>
          <w:b w:val="0"/>
        </w:rPr>
        <w:t>MEMORANDUM OF LAW IN OPPOSITION TO DEFENDANT'S MOTION FOR SUMMARY JUDGMENT</w:t>
      </w:r>
    </w:p>
    <w:p>
      <w:pPr>
        <w:pStyle w:val="Heading2"/>
      </w:pPr>
      <w:r>
        <w:rPr>
          <w:b w:val="0"/>
        </w:rPr>
        <w:t>Preliminary statement</w:t>
      </w:r>
    </w:p>
    <w:p>
      <w:r>
        <w:rPr>
          <w:b w:val="0"/>
        </w:rPr>
        <w:t>Plaintiff Paul Dawson submits this memorandum in opposition to the motion of Defendant Martin Distribution LLC for summary judgment. Defendant asks the Court to find that the exclusivity provision of the parties' agreement lapsed by course of dealing. The plain terms of the agreement foreclose that reading.</w:t>
      </w:r>
    </w:p>
    <w:p>
      <w:pPr>
        <w:pStyle w:val="Heading2"/>
      </w:pPr>
      <w:r>
        <w:rPr>
          <w:b w:val="0"/>
        </w:rPr>
        <w:t>Statement of facts</w:t>
      </w:r>
    </w:p>
    <w:p>
      <w:r>
        <w:rPr>
          <w:b w:val="0"/>
        </w:rPr>
        <w:t>1. On April 4, 2022, Plaintiff and Defendant entered into an Exclusive Distribution Agreement covering the New York metropolitan area, for an initial term of three years, renewing automatically (Exhibit 4).</w:t>
      </w:r>
    </w:p>
    <w:p>
      <w:r>
        <w:rPr>
          <w:b w:val="0"/>
        </w:rPr>
        <w:t>2. Beginning in September 2024, Defendant stopped filling Plaintiff's purchase orders and began supplying a competing retailer in the same territory (Exhibits 7 to 9).</w:t>
      </w:r>
    </w:p>
    <w:p>
      <w:r>
        <w:rPr>
          <w:b w:val="0"/>
        </w:rPr>
        <w:t>3. By letter dated February 12, 2025, Plaintiff demanded that Defendant honor the exclusivity provision (Exhibit 10). Defendant did not respond.</w:t>
      </w:r>
    </w:p>
    <w:p>
      <w:pPr>
        <w:pStyle w:val="Heading2"/>
      </w:pPr>
      <w:r>
        <w:rPr>
          <w:b w:val="0"/>
        </w:rPr>
        <w:t>Argument</w:t>
      </w:r>
    </w:p>
    <w:p>
      <w:r>
        <w:rPr>
          <w:b/>
        </w:rPr>
        <w:t>I. The exclusivity provision did not lapse.</w:t>
      </w:r>
      <w:r>
        <w:rPr>
          <w:b w:val="0"/>
        </w:rPr>
        <w:t xml:space="preserve"> Section 4 of the Agreement requires any termination of exclusivity to be given by written notice, delivered by certified mail at least six months before the renewal date. Defendant never gave that notice. The Agreement therefore renewed on April 4, 2025, on the same terms, exclusivity included.</w:t>
      </w:r>
    </w:p>
    <w:p>
      <w:r>
        <w:rPr>
          <w:b/>
        </w:rPr>
        <w:t>II. Plaintiff suffered lost profits.</w:t>
      </w:r>
      <w:r>
        <w:rPr>
          <w:b w:val="0"/>
        </w:rPr>
        <w:t xml:space="preserve"> The purchase orders left unfilled between September 2024 and March 2025 represent lost gross profits of $86,400 (Exhibit 12, accountant's report).</w:t>
      </w:r>
    </w:p>
    <w:p>
      <w:pPr>
        <w:pStyle w:val="Heading2"/>
      </w:pPr>
      <w:r>
        <w:rPr>
          <w:b w:val="0"/>
        </w:rPr>
        <w:t>Conclusion</w:t>
      </w:r>
    </w:p>
    <w:p>
      <w:r>
        <w:rPr>
          <w:b w:val="0"/>
        </w:rPr>
        <w:t>For these reasons, the Court should deny Defendant's motion in its entirety and grant such other relief as the Court deems just.</w:t>
      </w:r>
    </w:p>
    <w:p>
      <w:pPr>
        <w:jc w:val="right"/>
      </w:pPr>
      <w:r>
        <w:rPr>
          <w:b w:val="0"/>
        </w:rPr>
        <w:t>New York, New York, [DATE]</w:t>
      </w:r>
      <w:r>
        <w:br/>
      </w:r>
      <w:r>
        <w:rPr>
          <w:b w:val="0"/>
        </w:rPr>
        <w:t>Claire Morgan, Esq.</w:t>
      </w:r>
      <w:r>
        <w:br/>
      </w:r>
      <w:r>
        <w:rPr>
          <w:b w:val="0"/>
        </w:rPr>
        <w:t>Attorney for Plaintiff</w:t>
      </w:r>
    </w:p>
    <w:p>
      <w:pPr>
        <w:pStyle w:val="Heading2"/>
      </w:pPr>
      <w:r>
        <w:rPr>
          <w:b w:val="0"/>
        </w:rPr>
        <w:t>Exhibits</w:t>
      </w:r>
    </w:p>
    <w:tbl>
      <w:tblPr>
        <w:tblStyle w:val="TableGrid"/>
        <w:tblW w:type="auto" w:w="0"/>
        <w:tblLook w:firstColumn="1" w:firstRow="1" w:lastColumn="0" w:lastRow="0" w:noHBand="0" w:noVBand="1" w:val="04A0"/>
      </w:tblPr>
      <w:tblGrid>
        <w:gridCol w:w="2268"/>
        <w:gridCol w:w="2268"/>
      </w:tblGrid>
      <w:tr>
        <w:tc>
          <w:tcPr>
            <w:tcW w:type="dxa" w:w="2268"/>
          </w:tcPr>
          <w:p>
            <w:r/>
            <w:r>
              <w:rPr>
                <w:b/>
              </w:rPr>
              <w:t>No.</w:t>
            </w:r>
          </w:p>
        </w:tc>
        <w:tc>
          <w:tcPr>
            <w:tcW w:type="dxa" w:w="2268"/>
          </w:tcPr>
          <w:p>
            <w:r/>
            <w:r>
              <w:rPr>
                <w:b/>
              </w:rPr>
              <w:t>Exhibit</w:t>
            </w:r>
          </w:p>
        </w:tc>
      </w:tr>
      <w:tr>
        <w:tc>
          <w:tcPr>
            <w:tcW w:type="dxa" w:w="2268"/>
          </w:tcPr>
          <w:p>
            <w:r/>
            <w:r>
              <w:rPr>
                <w:b w:val="0"/>
              </w:rPr>
              <w:t>4</w:t>
            </w:r>
          </w:p>
        </w:tc>
        <w:tc>
          <w:tcPr>
            <w:tcW w:type="dxa" w:w="2268"/>
          </w:tcPr>
          <w:p>
            <w:r/>
            <w:r>
              <w:rPr>
                <w:b w:val="0"/>
              </w:rPr>
              <w:t>Exclusive Distribution Agreement dated April 4, 2022</w:t>
            </w:r>
          </w:p>
        </w:tc>
      </w:tr>
      <w:tr>
        <w:tc>
          <w:tcPr>
            <w:tcW w:type="dxa" w:w="2268"/>
          </w:tcPr>
          <w:p>
            <w:r/>
            <w:r>
              <w:rPr>
                <w:b w:val="0"/>
              </w:rPr>
              <w:t>7–9</w:t>
            </w:r>
          </w:p>
        </w:tc>
        <w:tc>
          <w:tcPr>
            <w:tcW w:type="dxa" w:w="2268"/>
          </w:tcPr>
          <w:p>
            <w:r/>
            <w:r>
              <w:rPr>
                <w:b w:val="0"/>
              </w:rPr>
              <w:t>Purchase orders sent to Martin Distribution and left unfilled</w:t>
            </w:r>
          </w:p>
        </w:tc>
      </w:tr>
      <w:tr>
        <w:tc>
          <w:tcPr>
            <w:tcW w:type="dxa" w:w="2268"/>
          </w:tcPr>
          <w:p>
            <w:r/>
            <w:r>
              <w:rPr>
                <w:b w:val="0"/>
              </w:rPr>
              <w:t>10</w:t>
            </w:r>
          </w:p>
        </w:tc>
        <w:tc>
          <w:tcPr>
            <w:tcW w:type="dxa" w:w="2268"/>
          </w:tcPr>
          <w:p>
            <w:r/>
            <w:r>
              <w:rPr>
                <w:b w:val="0"/>
              </w:rPr>
              <w:t>Demand letter dated February 12, 2025</w:t>
            </w:r>
          </w:p>
        </w:tc>
      </w:tr>
      <w:tr>
        <w:tc>
          <w:tcPr>
            <w:tcW w:type="dxa" w:w="2268"/>
          </w:tcPr>
          <w:p>
            <w:r/>
            <w:r>
              <w:rPr>
                <w:b w:val="0"/>
              </w:rPr>
              <w:t>12</w:t>
            </w:r>
          </w:p>
        </w:tc>
        <w:tc>
          <w:tcPr>
            <w:tcW w:type="dxa" w:w="2268"/>
          </w:tcPr>
          <w:p>
            <w:r/>
            <w:r>
              <w:rPr>
                <w:b w:val="0"/>
              </w:rPr>
              <w:t>Accountant's report on lost profits</w:t>
            </w:r>
          </w:p>
        </w:tc>
      </w:tr>
    </w:tbl>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