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MORGAN</w:t>
      </w:r>
      <w:r>
        <w:br/>
      </w:r>
      <w:r>
        <w:rPr>
          <w:b w:val="0"/>
          <w:sz w:val="19"/>
        </w:rPr>
        <w:t>Attorney at Law · Morgan Law Office</w:t>
      </w:r>
      <w:r>
        <w:br/>
      </w:r>
      <w:r>
        <w:rPr>
          <w:b w:val="0"/>
          <w:sz w:val="19"/>
        </w:rPr>
        <w:t>[FIRM ADDRESS] · [TELEPHONE] · Bar No.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2026-004-BENNETT · Internal notes</w:t>
      </w:r>
    </w:p>
    <w:p>
      <w:pPr>
        <w:pStyle w:val="Heading1"/>
        <w:jc w:val="center"/>
      </w:pPr>
      <w:r>
        <w:rPr>
          <w:b w:val="0"/>
        </w:rPr>
        <w:t>PRELIMINARY CONFERENCE — PREPARATION</w:t>
      </w:r>
    </w:p>
    <w:p>
      <w:r>
        <w:rPr>
          <w:b/>
        </w:rPr>
        <w:t>Conference:</w:t>
      </w:r>
      <w:r>
        <w:rPr>
          <w:b w:val="0"/>
        </w:rPr>
        <w:t xml:space="preserve"> [DATE], Supreme Court, New York County, matrimonial part</w:t>
      </w:r>
    </w:p>
    <w:p>
      <w:pPr>
        <w:pStyle w:val="Heading2"/>
      </w:pPr>
      <w:r>
        <w:rPr>
          <w:b w:val="0"/>
        </w:rPr>
        <w:t>Points to raise</w:t>
      </w:r>
    </w:p>
    <w:p>
      <w:pPr>
        <w:pStyle w:val="ListBullet"/>
      </w:pPr>
      <w:r>
        <w:rPr>
          <w:b w:val="0"/>
        </w:rPr>
        <w:t>School stability: both children attend school in Manhattan; supports primary residence with the mother.</w:t>
      </w:r>
    </w:p>
    <w:p>
      <w:pPr>
        <w:pStyle w:val="ListBullet"/>
      </w:pPr>
      <w:r>
        <w:rPr>
          <w:b w:val="0"/>
        </w:rPr>
        <w:t>Defendant's income: pay stubs and W-2 requested, not yet received.</w:t>
      </w:r>
    </w:p>
    <w:p>
      <w:pPr>
        <w:pStyle w:val="ListBullet"/>
      </w:pPr>
      <w:r>
        <w:rPr>
          <w:b w:val="0"/>
        </w:rPr>
        <w:t>Marital residence: jointly owned; propose temporary exclusive occupancy for Plaintiff.</w:t>
      </w:r>
    </w:p>
    <w:p>
      <w:pPr>
        <w:pStyle w:val="Heading2"/>
      </w:pPr>
      <w:r>
        <w:rPr>
          <w:b w:val="0"/>
        </w:rPr>
        <w:t>Documents to bring</w:t>
      </w:r>
    </w:p>
    <w:p>
      <w:pPr>
        <w:pStyle w:val="ListBullet"/>
      </w:pPr>
      <w:r>
        <w:rPr>
          <w:b w:val="0"/>
        </w:rPr>
        <w:t>Marriage certificate and children's birth certificates</w:t>
      </w:r>
    </w:p>
    <w:p>
      <w:pPr>
        <w:pStyle w:val="ListBullet"/>
      </w:pPr>
      <w:r>
        <w:rPr>
          <w:b w:val="0"/>
        </w:rPr>
        <w:t>Plaintiff's last three pay stubs and 2025 tax return</w:t>
      </w:r>
    </w:p>
    <w:p>
      <w:pPr>
        <w:pStyle w:val="ListBullet"/>
      </w:pPr>
      <w:r>
        <w:rPr>
          <w:b w:val="0"/>
        </w:rPr>
        <w:t>Monthly budget of the children's expenses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