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9"/>
        </w:rPr>
        <w:t>CLAIRE MORGAN</w:t>
      </w:r>
      <w:r>
        <w:br/>
      </w:r>
      <w:r>
        <w:rPr>
          <w:b w:val="0"/>
          <w:sz w:val="19"/>
        </w:rPr>
        <w:t>Attorney at Law · Morgan Law Office</w:t>
      </w:r>
      <w:r>
        <w:br/>
      </w:r>
      <w:r>
        <w:rPr>
          <w:b w:val="0"/>
          <w:sz w:val="19"/>
        </w:rPr>
        <w:t>[FIRM ADDRESS] · [TELEPHONE] · Bar No. [NUMBER]</w:t>
      </w:r>
    </w:p>
    <w:p>
      <w:pPr>
        <w:jc w:val="right"/>
      </w:pPr>
      <w:r>
        <w:rPr>
          <w:rFonts w:ascii="Courier New" w:hAnsi="Courier New"/>
          <w:b w:val="0"/>
          <w:sz w:val="19"/>
        </w:rPr>
        <w:t>Our ref. 2026-015-LUMEN · Privileged and confidential</w:t>
      </w:r>
    </w:p>
    <w:p>
      <w:pPr>
        <w:pStyle w:val="Heading1"/>
        <w:jc w:val="center"/>
      </w:pPr>
      <w:r>
        <w:rPr>
          <w:b w:val="0"/>
        </w:rPr>
        <w:t>MEMORANDUM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 w:val="0"/>
              </w:rPr>
              <w:t>To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</w:rPr>
              <w:t>The founders of Lumen Inc.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</w:rPr>
              <w:t>From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</w:rPr>
              <w:t>Claire Morgan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</w:rPr>
              <w:t>Date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</w:rPr>
              <w:t>[DATE]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</w:rPr>
              <w:t>Subject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</w:rPr>
              <w:t>Right of first refusal in the stockholders agreement</w:t>
            </w:r>
          </w:p>
        </w:tc>
      </w:tr>
    </w:tbl>
    <w:p>
      <w:pPr>
        <w:pStyle w:val="Heading2"/>
      </w:pPr>
      <w:r>
        <w:rPr>
          <w:b w:val="0"/>
        </w:rPr>
        <w:t>1. Question</w:t>
      </w:r>
    </w:p>
    <w:p>
      <w:r>
        <w:rPr>
          <w:b w:val="0"/>
        </w:rPr>
        <w:t>You asked whether the stockholders agreement should include a right of first refusal in addition to the transfer restrictions in Article VII of the bylaws.</w:t>
      </w:r>
    </w:p>
    <w:p>
      <w:pPr>
        <w:pStyle w:val="Heading2"/>
      </w:pPr>
      <w:r>
        <w:rPr>
          <w:b w:val="0"/>
        </w:rPr>
        <w:t>2. Short answer</w:t>
      </w:r>
    </w:p>
    <w:p>
      <w:r>
        <w:rPr>
          <w:b w:val="0"/>
        </w:rPr>
        <w:t>Yes. The board consent requirement lets the company block an unwanted buyer; a right of first refusal lets the existing stockholders buy the shares first, at the price offered by the third party. The two work together.</w:t>
      </w:r>
    </w:p>
    <w:p>
      <w:pPr>
        <w:pStyle w:val="Heading2"/>
      </w:pPr>
      <w:r>
        <w:rPr>
          <w:b w:val="0"/>
        </w:rPr>
        <w:t>3. Recommended terms</w:t>
      </w:r>
    </w:p>
    <w:p>
      <w:pPr>
        <w:pStyle w:val="ListBullet"/>
      </w:pPr>
      <w:r>
        <w:rPr>
          <w:b w:val="0"/>
        </w:rPr>
        <w:t>Right of first refusal for each stockholder, pro rata to its holding, exercisable within 30 days of notice.</w:t>
      </w:r>
    </w:p>
    <w:p>
      <w:pPr>
        <w:pStyle w:val="ListBullet"/>
      </w:pPr>
      <w:r>
        <w:rPr>
          <w:b w:val="0"/>
        </w:rPr>
        <w:t>Price: the bona fide third-party offer, or, failing agreement, fair market value set by an independent appraiser.</w:t>
      </w:r>
    </w:p>
    <w:p>
      <w:pPr>
        <w:pStyle w:val="ListBullet"/>
      </w:pPr>
      <w:r>
        <w:rPr>
          <w:b w:val="0"/>
        </w:rPr>
        <w:t>Exceptions: transfers to a holding company controlled by the transferring stockholder, and estate planning transfers.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