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RESEARCH NOTE</w:t>
      </w:r>
    </w:p>
    <w:p>
      <w:pPr>
        <w:jc w:val="center"/>
      </w:pPr>
      <w:r>
        <w:rPr>
          <w:b w:val="0"/>
        </w:rPr>
        <w:t>Appeal from a family court order</w:t>
      </w:r>
    </w:p>
    <w:p>
      <w:r>
        <w:rPr>
          <w:b/>
        </w:rPr>
        <w:t>Question:</w:t>
      </w:r>
      <w:r>
        <w:rPr>
          <w:b w:val="0"/>
        </w:rPr>
        <w:t xml:space="preserve"> how long does a party have to file a notice of appeal from a family court order setting temporary custody and support?</w:t>
      </w:r>
    </w:p>
    <w:p>
      <w:r>
        <w:rPr>
          <w:b/>
        </w:rPr>
        <w:t>Answer:</w:t>
      </w:r>
      <w:r>
        <w:rPr>
          <w:b w:val="0"/>
        </w:rPr>
        <w:t xml:space="preserve"> 30 days from service of the order with notice of entry (CPLR 5513(a); Family Court Act § 1113). The order remains in effect while the appeal is pending unless a stay is granted.</w:t>
      </w:r>
    </w:p>
    <w:p>
      <w:r>
        <w:rPr>
          <w:b/>
        </w:rPr>
        <w:t>To check:</w:t>
      </w:r>
      <w:r>
        <w:rPr>
          <w:b w:val="0"/>
        </w:rPr>
        <w:t xml:space="preserve"> whether the order was served with notice of entry, or only mailed by the clerk; the 30 days run from service.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