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9"/>
        </w:rPr>
        <w:t>CLAIRE MOREL</w:t>
      </w:r>
      <w:r>
        <w:br/>
      </w:r>
      <w:r>
        <w:rPr>
          <w:b w:val="0"/>
          <w:sz w:val="19"/>
        </w:rPr>
        <w:t>Attorney at the Paris Bar · Morel Law Office</w:t>
      </w:r>
      <w:r>
        <w:br/>
      </w:r>
      <w:r>
        <w:rPr>
          <w:b w:val="0"/>
          <w:sz w:val="19"/>
        </w:rPr>
        <w:t>[FIRM ADDRESS] · [TELEPHONE] · Bar number [NUMBER]</w:t>
      </w:r>
    </w:p>
    <w:p>
      <w:pPr>
        <w:jc w:val="right"/>
      </w:pPr>
      <w:r>
        <w:rPr>
          <w:rFonts w:ascii="Courier New" w:hAnsi="Courier New"/>
          <w:b w:val="0"/>
          <w:sz w:val="19"/>
        </w:rPr>
        <w:t>Our ref. 2025-031-DUPONT</w:t>
      </w:r>
    </w:p>
    <w:p>
      <w:r>
        <w:rPr>
          <w:b w:val="0"/>
        </w:rPr>
        <w:t>Mr Paul Dupont</w:t>
      </w:r>
      <w:r>
        <w:br/>
      </w:r>
      <w:r>
        <w:rPr>
          <w:b w:val="0"/>
        </w:rPr>
        <w:t>[ADDRESS]</w:t>
      </w:r>
    </w:p>
    <w:p>
      <w:pPr>
        <w:jc w:val="right"/>
      </w:pPr>
      <w:r>
        <w:rPr>
          <w:b w:val="0"/>
        </w:rPr>
        <w:t>Paris, [DATE]</w:t>
      </w:r>
    </w:p>
    <w:p>
      <w:r>
        <w:rPr>
          <w:b/>
        </w:rPr>
        <w:t>Re: Dupont v Martin Distribution — opposing submissions of [DATE]</w:t>
      </w:r>
    </w:p>
    <w:p>
      <w:r>
        <w:rPr>
          <w:b w:val="0"/>
        </w:rPr>
        <w:t>Dear Mr Dupont,</w:t>
      </w:r>
    </w:p>
    <w:p>
      <w:r>
        <w:rPr>
          <w:b w:val="0"/>
        </w:rPr>
        <w:t>Martin Distribution has filed its submissions. Its main argument is that the exclusivity ended tacitly when the initial term expired in April 2025.</w:t>
      </w:r>
    </w:p>
    <w:p>
      <w:r>
        <w:rPr>
          <w:b w:val="0"/>
        </w:rPr>
        <w:t>This argument is weak. Article 4 of the agreement requires a written notice six months before the anniversary date, and Martin Distribution never sent one. I will develop this point in our response submissions, which I intend to file before the next procedural hearing.</w:t>
      </w:r>
    </w:p>
    <w:p>
      <w:r>
        <w:rPr>
          <w:b w:val="0"/>
        </w:rPr>
        <w:t>To support our claim for damages, could you send me your sales figures for 2023 and 2024, broken down by month? The chartered accountant's certificate will need to rely on them.</w:t>
      </w:r>
    </w:p>
    <w:p>
      <w:r>
        <w:rPr>
          <w:b w:val="0"/>
        </w:rPr>
        <w:t>I remain at your disposal to discuss this by telephone.</w:t>
      </w:r>
    </w:p>
    <w:p>
      <w:r>
        <w:rPr>
          <w:b w:val="0"/>
        </w:rPr>
        <w:t>Yours sincerely,</w:t>
      </w:r>
      <w:r>
        <w:br/>
      </w:r>
      <w:r>
        <w:br/>
      </w:r>
      <w:r>
        <w:rPr>
          <w:b w:val="0"/>
        </w:rPr>
        <w:t>Claire Morel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