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9"/>
        </w:rPr>
        <w:t>CLAIRE MOREL</w:t>
      </w:r>
      <w:r>
        <w:br/>
      </w:r>
      <w:r>
        <w:rPr>
          <w:b w:val="0"/>
          <w:sz w:val="19"/>
        </w:rPr>
        <w:t>Attorney at the Paris Bar · Morel Law Office</w:t>
      </w:r>
      <w:r>
        <w:br/>
      </w:r>
      <w:r>
        <w:rPr>
          <w:b w:val="0"/>
          <w:sz w:val="19"/>
        </w:rPr>
        <w:t>[FIRM ADDRESS] · [TELEPHONE] · Bar number [NUMBER]</w:t>
      </w:r>
    </w:p>
    <w:p>
      <w:pPr>
        <w:jc w:val="right"/>
      </w:pPr>
      <w:r>
        <w:rPr>
          <w:rFonts w:ascii="Courier New" w:hAnsi="Courier New"/>
          <w:b w:val="0"/>
          <w:sz w:val="19"/>
        </w:rPr>
        <w:t>Our ref. 2025-031-DUPONT</w:t>
      </w:r>
    </w:p>
    <w:p>
      <w:pPr>
        <w:jc w:val="center"/>
      </w:pPr>
      <w:r>
        <w:rPr>
          <w:b/>
        </w:rPr>
        <w:t>PARIS COMMERCIAL COURT</w:t>
      </w:r>
      <w:r>
        <w:br/>
      </w:r>
      <w:r>
        <w:rPr>
          <w:b w:val="0"/>
        </w:rPr>
        <w:t>Docket no. CASE [NUMBER] · Chamber [NUMBER]</w:t>
      </w:r>
    </w:p>
    <w:p>
      <w:pPr>
        <w:pStyle w:val="Heading1"/>
        <w:jc w:val="center"/>
      </w:pPr>
      <w:r>
        <w:rPr>
          <w:b w:val="0"/>
        </w:rPr>
        <w:t>RESPONSE SUBMISSIONS No. 2</w:t>
      </w:r>
    </w:p>
    <w:p>
      <w:pPr>
        <w:jc w:val="center"/>
      </w:pPr>
      <w:r>
        <w:rPr>
          <w:b w:val="0"/>
        </w:rPr>
        <w:t>Hearing of [DATE]</w:t>
      </w:r>
    </w:p>
    <w:p>
      <w:r>
        <w:rPr>
          <w:b/>
        </w:rPr>
        <w:t>FOR:</w:t>
      </w:r>
      <w:r>
        <w:rPr>
          <w:b w:val="0"/>
        </w:rPr>
        <w:t xml:space="preserve"> Mr Paul Dupont, sole trader, residing at [ADDRESS], claimant,</w:t>
      </w:r>
      <w:r>
        <w:br/>
      </w:r>
      <w:r>
        <w:rPr>
          <w:b w:val="0"/>
        </w:rPr>
        <w:t>represented by Claire Morel, Attorney at the Paris Bar.</w:t>
      </w:r>
    </w:p>
    <w:p>
      <w:r>
        <w:rPr>
          <w:b/>
        </w:rPr>
        <w:t>AGAINST:</w:t>
      </w:r>
      <w:r>
        <w:rPr>
          <w:b w:val="0"/>
        </w:rPr>
        <w:t xml:space="preserve"> SARL Martin Distribution, registered with the Trade and Companies Register under number [NUMBER], whose registered office is at [ADDRESS], defendant,</w:t>
      </w:r>
      <w:r>
        <w:br/>
      </w:r>
      <w:r>
        <w:rPr>
          <w:b w:val="0"/>
        </w:rPr>
        <w:t>represented by [OPPOSING COUNSEL], Attorney at the Paris Bar.</w:t>
      </w:r>
    </w:p>
    <w:p>
      <w:pPr>
        <w:pStyle w:val="Heading2"/>
      </w:pPr>
      <w:r>
        <w:rPr>
          <w:b w:val="0"/>
        </w:rPr>
        <w:t>I. Facts and procedure</w:t>
      </w:r>
    </w:p>
    <w:p>
      <w:r>
        <w:rPr>
          <w:b w:val="0"/>
        </w:rPr>
        <w:t>1. On 4 April 2022, Mr Dupont and SARL Martin Distribution entered into an exclusive distribution agreement for the Île-de-France region, for an initial term of three years, renewable by tacit agreement (Exhibit No. 4).</w:t>
      </w:r>
    </w:p>
    <w:p>
      <w:r>
        <w:rPr>
          <w:b w:val="0"/>
        </w:rPr>
        <w:t>2. From September 2024, Martin Distribution stopped processing the orders placed by Mr Dupont and began supplying a competing retailer in the same territory (Exhibits No. 7 to 9).</w:t>
      </w:r>
    </w:p>
    <w:p>
      <w:r>
        <w:rPr>
          <w:b w:val="0"/>
        </w:rPr>
        <w:t>3. By a formal notice dated 12 February 2025, Mr Dupont requested that the defendant comply with its exclusivity undertaking (Exhibit No. 10). The notice remained unanswered.</w:t>
      </w:r>
    </w:p>
    <w:p>
      <w:pPr>
        <w:pStyle w:val="Heading2"/>
      </w:pPr>
      <w:r>
        <w:rPr>
          <w:b w:val="0"/>
        </w:rPr>
        <w:t>II. Discussion</w:t>
      </w:r>
    </w:p>
    <w:p>
      <w:r>
        <w:rPr>
          <w:b/>
        </w:rPr>
        <w:t>A. The exclusivity did not end tacitly</w:t>
      </w:r>
    </w:p>
    <w:p>
      <w:r>
        <w:rPr>
          <w:b w:val="0"/>
        </w:rPr>
        <w:t>4. The defendant argues that exclusivity ended tacitly when the initial term expired. That analysis does not withstand article 4 of the agreement, which requires any termination of exclusivity to be notified in writing, by registered letter with acknowledgement of receipt, at least six months before the anniversary date.</w:t>
      </w:r>
    </w:p>
    <w:p>
      <w:r>
        <w:rPr>
          <w:b w:val="0"/>
        </w:rPr>
        <w:t>5. No such notice was ever sent. The agreement was therefore renewed on 4 April 2025 on the same terms, exclusivity included.</w:t>
      </w:r>
    </w:p>
    <w:p>
      <w:r>
        <w:rPr>
          <w:b/>
        </w:rPr>
        <w:t>B. The breach caused a loss of margin</w:t>
      </w:r>
    </w:p>
    <w:p>
      <w:r>
        <w:rPr>
          <w:b w:val="0"/>
        </w:rPr>
        <w:t>6. The orders left unanswered between September 2024 and March 2025 represent a loss of gross margin estimated at EUR 86,400 (Exhibit No. 12, chartered accountant's certificate).</w:t>
      </w:r>
    </w:p>
    <w:p>
      <w:pPr>
        <w:pStyle w:val="Heading2"/>
      </w:pPr>
      <w:r>
        <w:rPr>
          <w:b w:val="0"/>
        </w:rPr>
        <w:t>III. Relief sought</w:t>
      </w:r>
    </w:p>
    <w:p>
      <w:r>
        <w:rPr>
          <w:b w:val="0"/>
        </w:rPr>
        <w:t>For these reasons, the Court is asked to:</w:t>
      </w:r>
    </w:p>
    <w:p>
      <w:pPr>
        <w:pStyle w:val="ListBullet"/>
      </w:pPr>
      <w:r>
        <w:rPr>
          <w:b w:val="0"/>
        </w:rPr>
        <w:t>find that the exclusive distribution agreement of 4 April 2022 remains in force;</w:t>
      </w:r>
    </w:p>
    <w:p>
      <w:pPr>
        <w:pStyle w:val="ListBullet"/>
      </w:pPr>
      <w:r>
        <w:rPr>
          <w:b w:val="0"/>
        </w:rPr>
        <w:t>order SARL Martin Distribution to pay Mr Dupont EUR 86,400 in damages;</w:t>
      </w:r>
    </w:p>
    <w:p>
      <w:pPr>
        <w:pStyle w:val="ListBullet"/>
      </w:pPr>
      <w:r>
        <w:rPr>
          <w:b w:val="0"/>
        </w:rPr>
        <w:t>order SARL Martin Distribution to pay EUR 6,000 under article 700 of the Code of Civil Procedure, and the costs.</w:t>
      </w:r>
    </w:p>
    <w:p>
      <w:pPr>
        <w:jc w:val="right"/>
      </w:pPr>
      <w:r>
        <w:rPr>
          <w:b w:val="0"/>
        </w:rPr>
        <w:t>Paris, [DATE]</w:t>
      </w:r>
      <w:r>
        <w:br/>
      </w:r>
      <w:r>
        <w:rPr>
          <w:b w:val="0"/>
        </w:rPr>
        <w:t>Claire Morel</w:t>
      </w:r>
    </w:p>
    <w:p>
      <w:pPr>
        <w:pStyle w:val="Heading2"/>
      </w:pPr>
      <w:r>
        <w:rPr>
          <w:b w:val="0"/>
        </w:rPr>
        <w:t>List of exhibits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</w:rPr>
              <w:t>No.</w:t>
            </w:r>
          </w:p>
        </w:tc>
        <w:tc>
          <w:tcPr>
            <w:tcW w:type="dxa" w:w="2268"/>
          </w:tcPr>
          <w:p>
            <w:r/>
            <w:r>
              <w:rPr>
                <w:b/>
              </w:rPr>
              <w:t>Exhibit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</w:rPr>
              <w:t>Exclusive distribution agreement of 4 April 2022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</w:rPr>
              <w:t>7–9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</w:rPr>
              <w:t>Orders sent to Martin Distribution and left unanswered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</w:rPr>
              <w:t>Formal notice of 12 February 2025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</w:rPr>
              <w:t>12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</w:rPr>
              <w:t>Chartered accountant's certificate on loss of margin</w:t>
            </w:r>
          </w:p>
        </w:tc>
      </w:tr>
    </w:tbl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