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9"/>
        </w:rPr>
        <w:t>CLAIRE MOREL</w:t>
      </w:r>
      <w:r>
        <w:br/>
      </w:r>
      <w:r>
        <w:rPr>
          <w:b w:val="0"/>
          <w:sz w:val="19"/>
        </w:rPr>
        <w:t>Attorney at the Paris Bar · Morel Law Office</w:t>
      </w:r>
      <w:r>
        <w:br/>
      </w:r>
      <w:r>
        <w:rPr>
          <w:b w:val="0"/>
          <w:sz w:val="19"/>
        </w:rPr>
        <w:t>[FIRM ADDRESS] · [TELEPHONE] · Bar number [NUMBER]</w:t>
      </w:r>
    </w:p>
    <w:p>
      <w:pPr>
        <w:jc w:val="right"/>
      </w:pPr>
      <w:r>
        <w:rPr>
          <w:rFonts w:ascii="Courier New" w:hAnsi="Courier New"/>
          <w:b w:val="0"/>
          <w:sz w:val="19"/>
        </w:rPr>
        <w:t>2026-004-BERNARD · Internal notes</w:t>
      </w:r>
    </w:p>
    <w:p>
      <w:pPr>
        <w:pStyle w:val="Heading1"/>
        <w:jc w:val="center"/>
      </w:pPr>
      <w:r>
        <w:rPr>
          <w:b w:val="0"/>
        </w:rPr>
        <w:t>CONCILIATION HEARING — PREPARATION</w:t>
      </w:r>
    </w:p>
    <w:p>
      <w:r>
        <w:rPr>
          <w:b/>
        </w:rPr>
        <w:t>Hearing:</w:t>
      </w:r>
      <w:r>
        <w:rPr>
          <w:b w:val="0"/>
        </w:rPr>
        <w:t xml:space="preserve"> [DATE], Family court judge, Paris Judicial Court</w:t>
      </w:r>
    </w:p>
    <w:p>
      <w:pPr>
        <w:pStyle w:val="Heading2"/>
      </w:pPr>
      <w:r>
        <w:rPr>
          <w:b w:val="0"/>
        </w:rPr>
        <w:t>Points to raise</w:t>
      </w:r>
    </w:p>
    <w:p>
      <w:pPr>
        <w:pStyle w:val="ListBullet"/>
      </w:pPr>
      <w:r>
        <w:rPr>
          <w:b w:val="0"/>
        </w:rPr>
        <w:t>Children's schooling: both in the 11th arrondissement, stability argues for residence with the mother.</w:t>
      </w:r>
    </w:p>
    <w:p>
      <w:pPr>
        <w:pStyle w:val="ListBullet"/>
      </w:pPr>
      <w:r>
        <w:rPr>
          <w:b w:val="0"/>
        </w:rPr>
        <w:t>Father's income: payslips requested, not yet received.</w:t>
      </w:r>
    </w:p>
    <w:p>
      <w:pPr>
        <w:pStyle w:val="ListBullet"/>
      </w:pPr>
      <w:r>
        <w:rPr>
          <w:b w:val="0"/>
        </w:rPr>
        <w:t>Family home: joint ownership; occupancy allowance to be negotiated around EUR 900.</w:t>
      </w:r>
    </w:p>
    <w:p>
      <w:pPr>
        <w:pStyle w:val="Heading2"/>
      </w:pPr>
      <w:r>
        <w:rPr>
          <w:b w:val="0"/>
        </w:rPr>
        <w:t>Documents to bring</w:t>
      </w:r>
    </w:p>
    <w:p>
      <w:pPr>
        <w:pStyle w:val="ListBullet"/>
      </w:pPr>
      <w:r>
        <w:rPr>
          <w:b w:val="0"/>
        </w:rPr>
        <w:t>Marriage certificate and children's birth certificates</w:t>
      </w:r>
    </w:p>
    <w:p>
      <w:pPr>
        <w:pStyle w:val="ListBullet"/>
      </w:pPr>
      <w:r>
        <w:rPr>
          <w:b w:val="0"/>
        </w:rPr>
        <w:t>Mrs Bernard's last three payslips and 2025 tax notice</w:t>
      </w:r>
    </w:p>
    <w:p>
      <w:pPr>
        <w:pStyle w:val="ListBullet"/>
      </w:pPr>
      <w:r>
        <w:rPr>
          <w:b w:val="0"/>
        </w:rPr>
        <w:t>Budget table of expenses for the children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