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19"/>
        </w:rPr>
        <w:t>CLAIRE MOREL</w:t>
      </w:r>
      <w:r>
        <w:br/>
      </w:r>
      <w:r>
        <w:rPr>
          <w:b w:val="0"/>
          <w:sz w:val="19"/>
        </w:rPr>
        <w:t>Attorney at the Paris Bar · Morel Law Office</w:t>
      </w:r>
      <w:r>
        <w:br/>
      </w:r>
      <w:r>
        <w:rPr>
          <w:b w:val="0"/>
          <w:sz w:val="19"/>
        </w:rPr>
        <w:t>[FIRM ADDRESS] · [TELEPHONE] · Bar number [NUMBER]</w:t>
      </w:r>
    </w:p>
    <w:p>
      <w:pPr>
        <w:jc w:val="right"/>
      </w:pPr>
      <w:r>
        <w:rPr>
          <w:rFonts w:ascii="Courier New" w:hAnsi="Courier New"/>
          <w:b w:val="0"/>
          <w:sz w:val="19"/>
        </w:rPr>
        <w:t>Our ref. 2026-015-LUMEN · Privileged and confidential</w:t>
      </w:r>
    </w:p>
    <w:p>
      <w:pPr>
        <w:pStyle w:val="Heading1"/>
        <w:jc w:val="center"/>
      </w:pPr>
      <w:r>
        <w:rPr>
          <w:b w:val="0"/>
        </w:rPr>
        <w:t>MEMORANDUM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</w:tblGrid>
      <w:tr>
        <w:tc>
          <w:tcPr>
            <w:tcW w:type="dxa" w:w="2268"/>
          </w:tcPr>
          <w:p>
            <w:r/>
            <w:r>
              <w:rPr>
                <w:b w:val="0"/>
              </w:rPr>
              <w:t>To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</w:rPr>
              <w:t>The founding partners of SAS Lumen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</w:rPr>
              <w:t>From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</w:rPr>
              <w:t>Claire Morel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</w:rPr>
              <w:t>Date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</w:rPr>
              <w:t>[DATE]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</w:rPr>
              <w:t>Subject</w:t>
            </w:r>
          </w:p>
        </w:tc>
        <w:tc>
          <w:tcPr>
            <w:tcW w:type="dxa" w:w="2268"/>
          </w:tcPr>
          <w:p>
            <w:r/>
            <w:r>
              <w:rPr>
                <w:b w:val="0"/>
              </w:rPr>
              <w:t>Pre-emption clauses in the shareholders agreement</w:t>
            </w:r>
          </w:p>
        </w:tc>
      </w:tr>
    </w:tbl>
    <w:p>
      <w:pPr>
        <w:pStyle w:val="Heading2"/>
      </w:pPr>
      <w:r>
        <w:rPr>
          <w:b w:val="0"/>
        </w:rPr>
        <w:t>1. Question</w:t>
      </w:r>
    </w:p>
    <w:p>
      <w:r>
        <w:rPr>
          <w:b w:val="0"/>
        </w:rPr>
        <w:t>You asked whether the shareholders agreement should include a pre-emption right in addition to the approval clause of article 12 of the articles of association.</w:t>
      </w:r>
    </w:p>
    <w:p>
      <w:pPr>
        <w:pStyle w:val="Heading2"/>
      </w:pPr>
      <w:r>
        <w:rPr>
          <w:b w:val="0"/>
        </w:rPr>
        <w:t>2. Short answer</w:t>
      </w:r>
    </w:p>
    <w:p>
      <w:r>
        <w:rPr>
          <w:b w:val="0"/>
        </w:rPr>
        <w:t>Yes. The approval clause lets the shareholders block an unwanted transferee; a pre-emption right lets them buy the shares first, at the price offered by the third party. The two clauses work together.</w:t>
      </w:r>
    </w:p>
    <w:p>
      <w:pPr>
        <w:pStyle w:val="Heading2"/>
      </w:pPr>
      <w:r>
        <w:rPr>
          <w:b w:val="0"/>
        </w:rPr>
        <w:t>3. Recommended drafting</w:t>
      </w:r>
    </w:p>
    <w:p>
      <w:pPr>
        <w:pStyle w:val="ListBullet"/>
      </w:pPr>
      <w:r>
        <w:rPr>
          <w:b w:val="0"/>
        </w:rPr>
        <w:t>Pre-emption right of each shareholder pro rata to its holding, exercisable within 30 days of notification.</w:t>
      </w:r>
    </w:p>
    <w:p>
      <w:pPr>
        <w:pStyle w:val="ListBullet"/>
      </w:pPr>
      <w:r>
        <w:rPr>
          <w:b w:val="0"/>
        </w:rPr>
        <w:t>Price: the price offered in good faith by the third party, or failing agreement, determined by an expert under article 1843-4 of the Civil Code.</w:t>
      </w:r>
    </w:p>
    <w:p>
      <w:pPr>
        <w:pStyle w:val="ListBullet"/>
      </w:pPr>
      <w:r>
        <w:rPr>
          <w:b w:val="0"/>
        </w:rPr>
        <w:t>Exceptions: transfers to a holding company controlled by the transferor.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