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9"/>
        </w:rPr>
        <w:t>CLAIRE MORGAN</w:t>
      </w:r>
      <w:r>
        <w:br/>
      </w:r>
      <w:r>
        <w:rPr>
          <w:b w:val="0"/>
          <w:sz w:val="19"/>
        </w:rPr>
        <w:t>Attorney at Law · Morgan Law Office</w:t>
      </w:r>
      <w:r>
        <w:br/>
      </w:r>
      <w:r>
        <w:rPr>
          <w:b w:val="0"/>
          <w:sz w:val="19"/>
        </w:rPr>
        <w:t>[FIRM ADDRESS] · [TELEPHONE] · Bar No. [NUMBER]</w:t>
      </w:r>
    </w:p>
    <w:p>
      <w:pPr>
        <w:jc w:val="right"/>
      </w:pPr>
      <w:r>
        <w:rPr>
          <w:rFonts w:ascii="Courier New" w:hAnsi="Courier New"/>
          <w:b w:val="0"/>
          <w:sz w:val="19"/>
        </w:rPr>
        <w:t>Our ref. 2025-031-DAWSON</w:t>
      </w:r>
    </w:p>
    <w:p>
      <w:r>
        <w:rPr>
          <w:b w:val="0"/>
        </w:rPr>
        <w:t>Mr. Paul Dawson</w:t>
      </w:r>
      <w:r>
        <w:br/>
      </w:r>
      <w:r>
        <w:rPr>
          <w:b w:val="0"/>
        </w:rPr>
        <w:t>[ADDRESS]</w:t>
      </w:r>
    </w:p>
    <w:p>
      <w:pPr>
        <w:jc w:val="right"/>
      </w:pPr>
      <w:r>
        <w:rPr>
          <w:b w:val="0"/>
        </w:rPr>
        <w:t>New York, [DATE]</w:t>
      </w:r>
    </w:p>
    <w:p>
      <w:r>
        <w:rPr>
          <w:b/>
        </w:rPr>
        <w:t>Re: Dawson v. Martin Distribution LLC — Defendant's motion papers</w:t>
      </w:r>
    </w:p>
    <w:p>
      <w:r>
        <w:rPr>
          <w:b w:val="0"/>
        </w:rPr>
        <w:t>Dear Mr. Dawson,</w:t>
      </w:r>
    </w:p>
    <w:p>
      <w:r>
        <w:rPr>
          <w:b w:val="0"/>
        </w:rPr>
        <w:t>Martin Distribution has filed its motion for summary judgment. Its main argument is that the exclusivity provision lapsed by course of dealing when the initial term ended in April 2025.</w:t>
      </w:r>
    </w:p>
    <w:p>
      <w:r>
        <w:rPr>
          <w:b w:val="0"/>
        </w:rPr>
        <w:t>The argument is weak. Section 4 of the Agreement requires written notice six months before the renewal date, and Martin Distribution never sent one. I will develop this point in our opposition brief, due before the next conference.</w:t>
      </w:r>
    </w:p>
    <w:p>
      <w:r>
        <w:rPr>
          <w:b w:val="0"/>
        </w:rPr>
        <w:t>To support our damages claim, please send me your monthly sales figures for 2023 and 2024. The accountant's report will rely on them.</w:t>
      </w:r>
    </w:p>
    <w:p>
      <w:r>
        <w:rPr>
          <w:b w:val="0"/>
        </w:rPr>
        <w:t>I am happy to discuss this by phone.</w:t>
      </w:r>
    </w:p>
    <w:p>
      <w:r>
        <w:rPr>
          <w:b w:val="0"/>
        </w:rPr>
        <w:t>Sincerely,</w:t>
      </w:r>
      <w:r>
        <w:br/>
      </w:r>
      <w:r>
        <w:br/>
      </w:r>
      <w:r>
        <w:rPr>
          <w:b w:val="0"/>
        </w:rPr>
        <w:t>Claire Morgan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