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ourier New" w:hAnsi="Courier New"/>
          <w:b w:val="0"/>
          <w:sz w:val="19"/>
        </w:rPr>
        <w:t>Draft v2 · 2026-012-LUMEN · confidential</w:t>
      </w:r>
    </w:p>
    <w:p>
      <w:pPr>
        <w:pStyle w:val="Heading1"/>
        <w:jc w:val="center"/>
      </w:pPr>
      <w:r>
        <w:rPr>
          <w:b w:val="0"/>
        </w:rPr>
        <w:t>BYLAWS OF LUMEN INC.</w:t>
      </w:r>
    </w:p>
    <w:p>
      <w:pPr>
        <w:jc w:val="center"/>
      </w:pPr>
      <w:r>
        <w:rPr>
          <w:b w:val="0"/>
        </w:rPr>
        <w:t>A Delaware corporation</w:t>
      </w:r>
    </w:p>
    <w:p>
      <w:pPr>
        <w:pStyle w:val="Heading2"/>
      </w:pPr>
      <w:r>
        <w:rPr>
          <w:b w:val="0"/>
        </w:rPr>
        <w:t>Article I — Offices</w:t>
      </w:r>
    </w:p>
    <w:p>
      <w:r>
        <w:rPr>
          <w:b w:val="0"/>
        </w:rPr>
        <w:t>The registered office of the Corporation in the State of Delaware shall be as stated in the Certificate of Incorporation.</w:t>
      </w:r>
    </w:p>
    <w:p>
      <w:pPr>
        <w:pStyle w:val="Heading2"/>
      </w:pPr>
      <w:r>
        <w:rPr>
          <w:b w:val="0"/>
        </w:rPr>
        <w:t>Article II — Stockholders</w:t>
      </w:r>
    </w:p>
    <w:p>
      <w:r>
        <w:rPr>
          <w:b w:val="0"/>
        </w:rPr>
        <w:t>An annual meeting of stockholders shall be held each year on a date set by the Board of Directors.</w:t>
      </w:r>
    </w:p>
    <w:p>
      <w:pPr>
        <w:pStyle w:val="Heading2"/>
      </w:pPr>
      <w:r>
        <w:rPr>
          <w:b w:val="0"/>
        </w:rPr>
        <w:t>Article VII — Restrictions on transfer of shares</w:t>
      </w:r>
    </w:p>
    <w:p>
      <w:r>
        <w:rPr>
          <w:b w:val="0"/>
        </w:rPr>
        <w:t>7.1 No stockholder may sell, assign or transfer any shares of the Corporation, including to another stockholder, without the prior written consent of the Board of Directors, given by a two-thirds vote.</w:t>
      </w:r>
    </w:p>
    <w:p>
      <w:r>
        <w:rPr>
          <w:b w:val="0"/>
        </w:rPr>
        <w:t>7.2 A stockholder wishing to transfer shares shall give written notice to the Secretary stating the proposed transferee, the number of shares and the price. The Board shall decide within ninety days; failing a decision, consent is deemed given.</w:t>
      </w:r>
    </w:p>
    <w:p>
      <w:r>
        <w:rPr>
          <w:b w:val="0"/>
        </w:rPr>
        <w:t>7.3 If consent is refused, the Corporation shall, within ninety days, arrange for the purchase of the shares by other stockholders, by third parties, or by the Corporation itself, at fair market value as determined by an independent appraiser.</w:t>
      </w:r>
    </w:p>
    <w:p>
      <w:pPr>
        <w:pStyle w:val="Heading2"/>
      </w:pPr>
      <w:r>
        <w:rPr>
          <w:b w:val="0"/>
        </w:rPr>
        <w:t>Article VIII — Officers</w:t>
      </w:r>
    </w:p>
    <w:p>
      <w:r>
        <w:rPr>
          <w:b w:val="0"/>
        </w:rPr>
        <w:t>The officers of the Corporation shall be a President, a Secretary and a Treasurer, appointed by the Board of Directors.</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