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E4408" w14:textId="1925C74F" w:rsidR="00D76403" w:rsidRDefault="00D76403" w:rsidP="008D7BDE">
      <w:pPr>
        <w:ind w:left="720"/>
        <w:rPr>
          <w:b/>
          <w:bCs/>
          <w:sz w:val="34"/>
          <w:szCs w:val="34"/>
        </w:rPr>
      </w:pPr>
      <w:r w:rsidRPr="00D76403">
        <w:rPr>
          <w:b/>
          <w:bCs/>
          <w:sz w:val="34"/>
          <w:szCs w:val="34"/>
        </w:rPr>
        <w:t>AWS Application load balancer VS Api gateway</w:t>
      </w:r>
    </w:p>
    <w:p w14:paraId="33642D24" w14:textId="58E6EBA2" w:rsidR="00D76403" w:rsidRDefault="008D7BDE" w:rsidP="00D76403">
      <w:r w:rsidRPr="008D7BDE">
        <w:t xml:space="preserve">In modern software development, ensuring application security, scalability, and efficient traffic management is essential. Hosting applications without considering these factors does not align with industry best practices, especially in cloud environments, where compliance standards must be strictly followed. It is equally important to establish a </w:t>
      </w:r>
      <w:r w:rsidRPr="008D7BDE">
        <w:t>single-entry</w:t>
      </w:r>
      <w:r w:rsidRPr="008D7BDE">
        <w:t xml:space="preserve"> point for applications and effectively distribute traffic to maintain performance and reliability.</w:t>
      </w:r>
      <w:r w:rsidR="003C4985">
        <w:t xml:space="preserve"> </w:t>
      </w:r>
    </w:p>
    <w:p w14:paraId="7D4475A3" w14:textId="1543F086" w:rsidR="008D7BDE" w:rsidRDefault="008D7BDE" w:rsidP="008D7BDE">
      <w:pPr>
        <w:pStyle w:val="ListParagraph"/>
        <w:numPr>
          <w:ilvl w:val="0"/>
          <w:numId w:val="2"/>
        </w:numPr>
      </w:pPr>
      <w:r w:rsidRPr="008D7BDE">
        <w:rPr>
          <w:b/>
          <w:bCs/>
        </w:rPr>
        <w:t>Application Load Balancer (ALB)</w:t>
      </w:r>
      <w:r w:rsidRPr="008D7BDE">
        <w:t>: A Layer 7 load balancer in AWS that efficiently distributes HTTP/HTTPS traffic across multiple targets, such as EC2 instances, containers, and IP addresses. It enables intelligent routing based on request attributes, supports SSL termination, and enhances application scalability.</w:t>
      </w:r>
    </w:p>
    <w:p w14:paraId="17D57F1D" w14:textId="77777777" w:rsidR="008D7BDE" w:rsidRPr="008D7BDE" w:rsidRDefault="008D7BDE" w:rsidP="008D7BDE"/>
    <w:p w14:paraId="4661E0DB" w14:textId="58FD824F" w:rsidR="008D7BDE" w:rsidRDefault="008D7BDE" w:rsidP="008D7BDE">
      <w:pPr>
        <w:pStyle w:val="ListParagraph"/>
        <w:numPr>
          <w:ilvl w:val="0"/>
          <w:numId w:val="2"/>
        </w:numPr>
      </w:pPr>
      <w:r w:rsidRPr="008D7BDE">
        <w:rPr>
          <w:b/>
          <w:bCs/>
        </w:rPr>
        <w:t>API Gateway</w:t>
      </w:r>
      <w:r w:rsidRPr="008D7BDE">
        <w:t>: A fully managed AWS service that acts as a front door for APIs, handling request routing, authentication, rate limiting, and monitoring. It is ideal for serverless applications, integrating seamlessly with AWS Lambda, and provides security features like OAuth and API key management.</w:t>
      </w:r>
    </w:p>
    <w:p w14:paraId="05C98ABE" w14:textId="77777777" w:rsidR="008D7BDE" w:rsidRDefault="008D7BDE" w:rsidP="008D7BDE">
      <w:pPr>
        <w:pStyle w:val="ListParagraph"/>
      </w:pPr>
    </w:p>
    <w:p w14:paraId="32A4AC37" w14:textId="73724119" w:rsidR="00D76403" w:rsidRDefault="008D7BDE" w:rsidP="008E004D">
      <w:r>
        <w:t>Difference with API Gateway and application Load balancer</w:t>
      </w:r>
    </w:p>
    <w:tbl>
      <w:tblPr>
        <w:tblStyle w:val="TableGrid"/>
        <w:tblW w:w="10060" w:type="dxa"/>
        <w:tblLook w:val="04A0" w:firstRow="1" w:lastRow="0" w:firstColumn="1" w:lastColumn="0" w:noHBand="0" w:noVBand="1"/>
      </w:tblPr>
      <w:tblGrid>
        <w:gridCol w:w="846"/>
        <w:gridCol w:w="4536"/>
        <w:gridCol w:w="4678"/>
      </w:tblGrid>
      <w:tr w:rsidR="00401794" w:rsidRPr="00887DD5" w14:paraId="04BE5511" w14:textId="77777777" w:rsidTr="00887DD5">
        <w:tc>
          <w:tcPr>
            <w:tcW w:w="846" w:type="dxa"/>
          </w:tcPr>
          <w:p w14:paraId="71EC5DFB" w14:textId="5FB0ED86" w:rsidR="00401794" w:rsidRPr="00887DD5" w:rsidRDefault="00401794" w:rsidP="00887DD5">
            <w:pPr>
              <w:jc w:val="center"/>
              <w:rPr>
                <w:rFonts w:ascii="Calibri" w:hAnsi="Calibri" w:cs="Calibri"/>
              </w:rPr>
            </w:pPr>
            <w:r w:rsidRPr="00887DD5">
              <w:rPr>
                <w:rFonts w:ascii="Calibri" w:hAnsi="Calibri" w:cs="Calibri"/>
              </w:rPr>
              <w:t>S.</w:t>
            </w:r>
            <w:r w:rsidR="00365FEB" w:rsidRPr="00887DD5">
              <w:rPr>
                <w:rFonts w:ascii="Calibri" w:hAnsi="Calibri" w:cs="Calibri"/>
              </w:rPr>
              <w:t xml:space="preserve"> </w:t>
            </w:r>
            <w:r w:rsidRPr="00887DD5">
              <w:rPr>
                <w:rFonts w:ascii="Calibri" w:hAnsi="Calibri" w:cs="Calibri"/>
              </w:rPr>
              <w:t>No</w:t>
            </w:r>
          </w:p>
        </w:tc>
        <w:tc>
          <w:tcPr>
            <w:tcW w:w="4536" w:type="dxa"/>
          </w:tcPr>
          <w:p w14:paraId="13DE4964" w14:textId="6D00AE7A" w:rsidR="00401794" w:rsidRPr="00887DD5" w:rsidRDefault="00401794" w:rsidP="00887DD5">
            <w:pPr>
              <w:jc w:val="center"/>
              <w:rPr>
                <w:rFonts w:ascii="Calibri" w:hAnsi="Calibri" w:cs="Calibri"/>
              </w:rPr>
            </w:pPr>
            <w:r w:rsidRPr="00887DD5">
              <w:rPr>
                <w:rFonts w:ascii="Calibri" w:hAnsi="Calibri" w:cs="Calibri"/>
              </w:rPr>
              <w:t>API Gateway</w:t>
            </w:r>
          </w:p>
        </w:tc>
        <w:tc>
          <w:tcPr>
            <w:tcW w:w="4678" w:type="dxa"/>
          </w:tcPr>
          <w:p w14:paraId="51B247AF" w14:textId="0188D3E1" w:rsidR="00401794" w:rsidRPr="00887DD5" w:rsidRDefault="00401794" w:rsidP="00887DD5">
            <w:pPr>
              <w:jc w:val="center"/>
              <w:rPr>
                <w:rFonts w:ascii="Calibri" w:hAnsi="Calibri" w:cs="Calibri"/>
              </w:rPr>
            </w:pPr>
            <w:r w:rsidRPr="00887DD5">
              <w:rPr>
                <w:rFonts w:ascii="Calibri" w:hAnsi="Calibri" w:cs="Calibri"/>
              </w:rPr>
              <w:t>Load Balancer</w:t>
            </w:r>
          </w:p>
        </w:tc>
      </w:tr>
      <w:tr w:rsidR="00E45F93" w:rsidRPr="00887DD5" w14:paraId="74BBFF07" w14:textId="77777777" w:rsidTr="00887DD5">
        <w:tc>
          <w:tcPr>
            <w:tcW w:w="846" w:type="dxa"/>
          </w:tcPr>
          <w:p w14:paraId="5D244DDD" w14:textId="6FF8277A" w:rsidR="00E45F93" w:rsidRPr="00887DD5" w:rsidRDefault="00E45F93" w:rsidP="002722A7">
            <w:pPr>
              <w:rPr>
                <w:rFonts w:ascii="Calibri" w:hAnsi="Calibri" w:cs="Calibri"/>
              </w:rPr>
            </w:pPr>
            <w:r w:rsidRPr="00887DD5">
              <w:rPr>
                <w:rFonts w:ascii="Calibri" w:hAnsi="Calibri" w:cs="Calibri"/>
              </w:rPr>
              <w:t xml:space="preserve"> 1 </w:t>
            </w:r>
          </w:p>
        </w:tc>
        <w:tc>
          <w:tcPr>
            <w:tcW w:w="4536" w:type="dxa"/>
          </w:tcPr>
          <w:p w14:paraId="54CBFC23" w14:textId="4E829373" w:rsidR="00E45F93" w:rsidRPr="00887DD5" w:rsidRDefault="00E45F93" w:rsidP="002722A7">
            <w:pPr>
              <w:rPr>
                <w:rFonts w:ascii="Calibri" w:hAnsi="Calibri" w:cs="Calibri"/>
              </w:rPr>
            </w:pPr>
            <w:r w:rsidRPr="00887DD5">
              <w:rPr>
                <w:rFonts w:ascii="Calibri" w:hAnsi="Calibri" w:cs="Calibri"/>
              </w:rPr>
              <w:t xml:space="preserve"> Supports rate limiting and burst capacity for APIs </w:t>
            </w:r>
          </w:p>
        </w:tc>
        <w:tc>
          <w:tcPr>
            <w:tcW w:w="4678" w:type="dxa"/>
          </w:tcPr>
          <w:p w14:paraId="3094B74A" w14:textId="22CF7B7F" w:rsidR="00E45F93" w:rsidRPr="00887DD5" w:rsidRDefault="00E45F93" w:rsidP="002722A7">
            <w:pPr>
              <w:rPr>
                <w:rFonts w:ascii="Calibri" w:hAnsi="Calibri" w:cs="Calibri"/>
              </w:rPr>
            </w:pPr>
            <w:r w:rsidRPr="00887DD5">
              <w:rPr>
                <w:rFonts w:ascii="Calibri" w:hAnsi="Calibri" w:cs="Calibri"/>
              </w:rPr>
              <w:t xml:space="preserve"> Does not offer rate limiting or bursting capabilities </w:t>
            </w:r>
          </w:p>
        </w:tc>
      </w:tr>
      <w:tr w:rsidR="00E45F93" w:rsidRPr="00887DD5" w14:paraId="29027A21" w14:textId="77777777" w:rsidTr="00887DD5">
        <w:tc>
          <w:tcPr>
            <w:tcW w:w="846" w:type="dxa"/>
          </w:tcPr>
          <w:p w14:paraId="39B61B07" w14:textId="76C467EF" w:rsidR="00E45F93" w:rsidRPr="00887DD5" w:rsidRDefault="00E45F93" w:rsidP="002722A7">
            <w:pPr>
              <w:rPr>
                <w:rFonts w:ascii="Calibri" w:hAnsi="Calibri" w:cs="Calibri"/>
              </w:rPr>
            </w:pPr>
            <w:r w:rsidRPr="00887DD5">
              <w:rPr>
                <w:rFonts w:ascii="Calibri" w:hAnsi="Calibri" w:cs="Calibri"/>
              </w:rPr>
              <w:t xml:space="preserve"> 2 </w:t>
            </w:r>
          </w:p>
        </w:tc>
        <w:tc>
          <w:tcPr>
            <w:tcW w:w="4536" w:type="dxa"/>
          </w:tcPr>
          <w:p w14:paraId="1A37AAE5" w14:textId="546026AB" w:rsidR="00E45F93" w:rsidRPr="00887DD5" w:rsidRDefault="00E45F93" w:rsidP="002722A7">
            <w:pPr>
              <w:rPr>
                <w:rFonts w:ascii="Calibri" w:hAnsi="Calibri" w:cs="Calibri"/>
              </w:rPr>
            </w:pPr>
            <w:r w:rsidRPr="00887DD5">
              <w:rPr>
                <w:rFonts w:ascii="Calibri" w:hAnsi="Calibri" w:cs="Calibri"/>
              </w:rPr>
              <w:t xml:space="preserve"> Integrates seamlessly with AWS Web Application Firewall (WAF) </w:t>
            </w:r>
          </w:p>
        </w:tc>
        <w:tc>
          <w:tcPr>
            <w:tcW w:w="4678" w:type="dxa"/>
          </w:tcPr>
          <w:p w14:paraId="64A3D461" w14:textId="449C0F4E" w:rsidR="00E45F93" w:rsidRPr="00887DD5" w:rsidRDefault="00E45F93" w:rsidP="002722A7">
            <w:pPr>
              <w:rPr>
                <w:rFonts w:ascii="Calibri" w:hAnsi="Calibri" w:cs="Calibri"/>
              </w:rPr>
            </w:pPr>
            <w:r w:rsidRPr="00887DD5">
              <w:rPr>
                <w:rFonts w:ascii="Calibri" w:hAnsi="Calibri" w:cs="Calibri"/>
              </w:rPr>
              <w:t xml:space="preserve"> Also integrates with AWS WAF </w:t>
            </w:r>
          </w:p>
        </w:tc>
      </w:tr>
      <w:tr w:rsidR="00E45F93" w:rsidRPr="00887DD5" w14:paraId="198659F7" w14:textId="77777777" w:rsidTr="00887DD5">
        <w:tc>
          <w:tcPr>
            <w:tcW w:w="846" w:type="dxa"/>
          </w:tcPr>
          <w:p w14:paraId="1ED241D5" w14:textId="5E7ED43C" w:rsidR="00E45F93" w:rsidRPr="00887DD5" w:rsidRDefault="00E45F93" w:rsidP="002722A7">
            <w:pPr>
              <w:rPr>
                <w:rFonts w:ascii="Calibri" w:hAnsi="Calibri" w:cs="Calibri"/>
              </w:rPr>
            </w:pPr>
            <w:r w:rsidRPr="00887DD5">
              <w:rPr>
                <w:rFonts w:ascii="Calibri" w:hAnsi="Calibri" w:cs="Calibri"/>
              </w:rPr>
              <w:t xml:space="preserve"> 3 </w:t>
            </w:r>
          </w:p>
        </w:tc>
        <w:tc>
          <w:tcPr>
            <w:tcW w:w="4536" w:type="dxa"/>
          </w:tcPr>
          <w:p w14:paraId="03344932" w14:textId="302AECFC" w:rsidR="00E45F93" w:rsidRPr="00887DD5" w:rsidRDefault="00E45F93" w:rsidP="002722A7">
            <w:pPr>
              <w:rPr>
                <w:rFonts w:ascii="Calibri" w:hAnsi="Calibri" w:cs="Calibri"/>
              </w:rPr>
            </w:pPr>
            <w:r w:rsidRPr="00887DD5">
              <w:rPr>
                <w:rFonts w:ascii="Calibri" w:hAnsi="Calibri" w:cs="Calibri"/>
              </w:rPr>
              <w:t xml:space="preserve"> Does not provide a static public IP for endpoints </w:t>
            </w:r>
          </w:p>
        </w:tc>
        <w:tc>
          <w:tcPr>
            <w:tcW w:w="4678" w:type="dxa"/>
          </w:tcPr>
          <w:p w14:paraId="07E8BB37" w14:textId="11580F35" w:rsidR="00E45F93" w:rsidRPr="00887DD5" w:rsidRDefault="00E45F93" w:rsidP="002722A7">
            <w:pPr>
              <w:rPr>
                <w:rFonts w:ascii="Calibri" w:hAnsi="Calibri" w:cs="Calibri"/>
              </w:rPr>
            </w:pPr>
            <w:r w:rsidRPr="00887DD5">
              <w:rPr>
                <w:rFonts w:ascii="Calibri" w:hAnsi="Calibri" w:cs="Calibri"/>
              </w:rPr>
              <w:t xml:space="preserve"> Supports static public IP when integrated with CloudFront </w:t>
            </w:r>
          </w:p>
        </w:tc>
      </w:tr>
      <w:tr w:rsidR="00E45F93" w:rsidRPr="00887DD5" w14:paraId="196D2DDA" w14:textId="77777777" w:rsidTr="00887DD5">
        <w:tc>
          <w:tcPr>
            <w:tcW w:w="846" w:type="dxa"/>
          </w:tcPr>
          <w:p w14:paraId="0248E74F" w14:textId="542BB31F" w:rsidR="00E45F93" w:rsidRPr="00887DD5" w:rsidRDefault="00E45F93" w:rsidP="002722A7">
            <w:pPr>
              <w:rPr>
                <w:rFonts w:ascii="Calibri" w:hAnsi="Calibri" w:cs="Calibri"/>
              </w:rPr>
            </w:pPr>
            <w:r w:rsidRPr="00887DD5">
              <w:rPr>
                <w:rFonts w:ascii="Calibri" w:hAnsi="Calibri" w:cs="Calibri"/>
              </w:rPr>
              <w:t xml:space="preserve"> 4 </w:t>
            </w:r>
          </w:p>
        </w:tc>
        <w:tc>
          <w:tcPr>
            <w:tcW w:w="4536" w:type="dxa"/>
          </w:tcPr>
          <w:p w14:paraId="41DE6C55" w14:textId="7229492E" w:rsidR="00E45F93" w:rsidRPr="00887DD5" w:rsidRDefault="00E45F93" w:rsidP="002722A7">
            <w:pPr>
              <w:rPr>
                <w:rFonts w:ascii="Calibri" w:hAnsi="Calibri" w:cs="Calibri"/>
              </w:rPr>
            </w:pPr>
            <w:r w:rsidRPr="00887DD5">
              <w:rPr>
                <w:rFonts w:ascii="Calibri" w:hAnsi="Calibri" w:cs="Calibri"/>
              </w:rPr>
              <w:t xml:space="preserve"> Accepts only HTTPS traffic </w:t>
            </w:r>
          </w:p>
        </w:tc>
        <w:tc>
          <w:tcPr>
            <w:tcW w:w="4678" w:type="dxa"/>
          </w:tcPr>
          <w:p w14:paraId="0CEEE049" w14:textId="7854D5FA" w:rsidR="00E45F93" w:rsidRPr="00887DD5" w:rsidRDefault="00E45F93" w:rsidP="002722A7">
            <w:pPr>
              <w:rPr>
                <w:rFonts w:ascii="Calibri" w:hAnsi="Calibri" w:cs="Calibri"/>
              </w:rPr>
            </w:pPr>
            <w:r w:rsidRPr="00887DD5">
              <w:rPr>
                <w:rFonts w:ascii="Calibri" w:hAnsi="Calibri" w:cs="Calibri"/>
              </w:rPr>
              <w:t xml:space="preserve"> Accepts both HTTP and HTTPS traffic </w:t>
            </w:r>
          </w:p>
        </w:tc>
      </w:tr>
      <w:tr w:rsidR="00E45F93" w:rsidRPr="00887DD5" w14:paraId="597B62F1" w14:textId="77777777" w:rsidTr="00887DD5">
        <w:tc>
          <w:tcPr>
            <w:tcW w:w="846" w:type="dxa"/>
          </w:tcPr>
          <w:p w14:paraId="5D52D2F4" w14:textId="00D510C3" w:rsidR="00E45F93" w:rsidRPr="00887DD5" w:rsidRDefault="00E45F93" w:rsidP="002722A7">
            <w:pPr>
              <w:rPr>
                <w:rFonts w:ascii="Calibri" w:hAnsi="Calibri" w:cs="Calibri"/>
              </w:rPr>
            </w:pPr>
            <w:r w:rsidRPr="00887DD5">
              <w:rPr>
                <w:rFonts w:ascii="Calibri" w:hAnsi="Calibri" w:cs="Calibri"/>
              </w:rPr>
              <w:t xml:space="preserve"> 5 </w:t>
            </w:r>
          </w:p>
        </w:tc>
        <w:tc>
          <w:tcPr>
            <w:tcW w:w="4536" w:type="dxa"/>
          </w:tcPr>
          <w:p w14:paraId="4D73BDB2" w14:textId="14F6F24D" w:rsidR="00E45F93" w:rsidRPr="00887DD5" w:rsidRDefault="00E45F93" w:rsidP="002722A7">
            <w:pPr>
              <w:rPr>
                <w:rFonts w:ascii="Calibri" w:hAnsi="Calibri" w:cs="Calibri"/>
              </w:rPr>
            </w:pPr>
            <w:r w:rsidRPr="00887DD5">
              <w:rPr>
                <w:rFonts w:ascii="Calibri" w:hAnsi="Calibri" w:cs="Calibri"/>
              </w:rPr>
              <w:t xml:space="preserve"> Provides request validation and request/response mapping </w:t>
            </w:r>
          </w:p>
        </w:tc>
        <w:tc>
          <w:tcPr>
            <w:tcW w:w="4678" w:type="dxa"/>
          </w:tcPr>
          <w:p w14:paraId="6C413472" w14:textId="63D6C25C" w:rsidR="00E45F93" w:rsidRPr="00887DD5" w:rsidRDefault="00E45F93" w:rsidP="002722A7">
            <w:pPr>
              <w:rPr>
                <w:rFonts w:ascii="Calibri" w:hAnsi="Calibri" w:cs="Calibri"/>
              </w:rPr>
            </w:pPr>
            <w:r w:rsidRPr="00887DD5">
              <w:rPr>
                <w:rFonts w:ascii="Calibri" w:hAnsi="Calibri" w:cs="Calibri"/>
              </w:rPr>
              <w:t xml:space="preserve"> Supports request validation and response mapping </w:t>
            </w:r>
          </w:p>
        </w:tc>
      </w:tr>
      <w:tr w:rsidR="00E45F93" w:rsidRPr="00887DD5" w14:paraId="71370B69" w14:textId="77777777" w:rsidTr="00887DD5">
        <w:tc>
          <w:tcPr>
            <w:tcW w:w="846" w:type="dxa"/>
          </w:tcPr>
          <w:p w14:paraId="39C0845E" w14:textId="1BB68C80" w:rsidR="00E45F93" w:rsidRPr="00887DD5" w:rsidRDefault="00E45F93" w:rsidP="002722A7">
            <w:pPr>
              <w:rPr>
                <w:rFonts w:ascii="Calibri" w:hAnsi="Calibri" w:cs="Calibri"/>
              </w:rPr>
            </w:pPr>
            <w:r w:rsidRPr="00887DD5">
              <w:rPr>
                <w:rFonts w:ascii="Calibri" w:hAnsi="Calibri" w:cs="Calibri"/>
              </w:rPr>
              <w:t xml:space="preserve"> 6 </w:t>
            </w:r>
          </w:p>
        </w:tc>
        <w:tc>
          <w:tcPr>
            <w:tcW w:w="4536" w:type="dxa"/>
          </w:tcPr>
          <w:p w14:paraId="29A2EB55" w14:textId="2D1F0E85" w:rsidR="00E45F93" w:rsidRPr="00887DD5" w:rsidRDefault="00E45F93" w:rsidP="002722A7">
            <w:pPr>
              <w:rPr>
                <w:rFonts w:ascii="Calibri" w:hAnsi="Calibri" w:cs="Calibri"/>
              </w:rPr>
            </w:pPr>
            <w:r w:rsidRPr="00887DD5">
              <w:rPr>
                <w:rFonts w:ascii="Calibri" w:hAnsi="Calibri" w:cs="Calibri"/>
              </w:rPr>
              <w:t xml:space="preserve"> Handles traffic spikes with a default capacity of 10K requests per second and 5K burst rate before throttling </w:t>
            </w:r>
          </w:p>
        </w:tc>
        <w:tc>
          <w:tcPr>
            <w:tcW w:w="4678" w:type="dxa"/>
          </w:tcPr>
          <w:p w14:paraId="6A2AE5E8" w14:textId="1D9D7626" w:rsidR="00E45F93" w:rsidRPr="00887DD5" w:rsidRDefault="00E45F93" w:rsidP="002722A7">
            <w:pPr>
              <w:rPr>
                <w:rFonts w:ascii="Calibri" w:hAnsi="Calibri" w:cs="Calibri"/>
              </w:rPr>
            </w:pPr>
            <w:r w:rsidRPr="00887DD5">
              <w:rPr>
                <w:rFonts w:ascii="Calibri" w:hAnsi="Calibri" w:cs="Calibri"/>
              </w:rPr>
              <w:t xml:space="preserve"> Manages traffic spikes by pre-allocating LCUs, but incurs additional costs </w:t>
            </w:r>
          </w:p>
        </w:tc>
      </w:tr>
      <w:tr w:rsidR="00E45F93" w:rsidRPr="00887DD5" w14:paraId="1969FD2C" w14:textId="77777777" w:rsidTr="00887DD5">
        <w:tc>
          <w:tcPr>
            <w:tcW w:w="846" w:type="dxa"/>
          </w:tcPr>
          <w:p w14:paraId="72B26F21" w14:textId="3983704C" w:rsidR="00E45F93" w:rsidRPr="00887DD5" w:rsidRDefault="00E45F93" w:rsidP="002722A7">
            <w:pPr>
              <w:rPr>
                <w:rFonts w:ascii="Calibri" w:hAnsi="Calibri" w:cs="Calibri"/>
              </w:rPr>
            </w:pPr>
            <w:r w:rsidRPr="00887DD5">
              <w:rPr>
                <w:rFonts w:ascii="Calibri" w:hAnsi="Calibri" w:cs="Calibri"/>
              </w:rPr>
              <w:t xml:space="preserve"> 7 </w:t>
            </w:r>
          </w:p>
        </w:tc>
        <w:tc>
          <w:tcPr>
            <w:tcW w:w="4536" w:type="dxa"/>
          </w:tcPr>
          <w:p w14:paraId="425E4AF6" w14:textId="4FA07225" w:rsidR="00E45F93" w:rsidRPr="00887DD5" w:rsidRDefault="00E45F93" w:rsidP="002722A7">
            <w:pPr>
              <w:rPr>
                <w:rFonts w:ascii="Calibri" w:hAnsi="Calibri" w:cs="Calibri"/>
              </w:rPr>
            </w:pPr>
            <w:r w:rsidRPr="00887DD5">
              <w:rPr>
                <w:rFonts w:ascii="Calibri" w:hAnsi="Calibri" w:cs="Calibri"/>
              </w:rPr>
              <w:t xml:space="preserve"> Allows API import/export across platforms using Swagger </w:t>
            </w:r>
          </w:p>
        </w:tc>
        <w:tc>
          <w:tcPr>
            <w:tcW w:w="4678" w:type="dxa"/>
          </w:tcPr>
          <w:p w14:paraId="366E9084" w14:textId="339CFDAF" w:rsidR="00E45F93" w:rsidRPr="00887DD5" w:rsidRDefault="00E45F93" w:rsidP="002722A7">
            <w:pPr>
              <w:rPr>
                <w:rFonts w:ascii="Calibri" w:hAnsi="Calibri" w:cs="Calibri"/>
              </w:rPr>
            </w:pPr>
            <w:r w:rsidRPr="00887DD5">
              <w:rPr>
                <w:rFonts w:ascii="Calibri" w:hAnsi="Calibri" w:cs="Calibri"/>
              </w:rPr>
              <w:t xml:space="preserve"> No direct functionality for cross-platform import/export </w:t>
            </w:r>
          </w:p>
        </w:tc>
      </w:tr>
      <w:tr w:rsidR="00E45F93" w:rsidRPr="00887DD5" w14:paraId="1F32B636" w14:textId="77777777" w:rsidTr="00887DD5">
        <w:tc>
          <w:tcPr>
            <w:tcW w:w="846" w:type="dxa"/>
          </w:tcPr>
          <w:p w14:paraId="48821F2A" w14:textId="75154136" w:rsidR="00E45F93" w:rsidRPr="00887DD5" w:rsidRDefault="00E45F93" w:rsidP="002722A7">
            <w:pPr>
              <w:rPr>
                <w:rFonts w:ascii="Calibri" w:hAnsi="Calibri" w:cs="Calibri"/>
              </w:rPr>
            </w:pPr>
            <w:r w:rsidRPr="00887DD5">
              <w:rPr>
                <w:rFonts w:ascii="Calibri" w:hAnsi="Calibri" w:cs="Calibri"/>
              </w:rPr>
              <w:t xml:space="preserve"> 8 </w:t>
            </w:r>
          </w:p>
        </w:tc>
        <w:tc>
          <w:tcPr>
            <w:tcW w:w="4536" w:type="dxa"/>
          </w:tcPr>
          <w:p w14:paraId="42F265ED" w14:textId="300C7820" w:rsidR="00E45F93" w:rsidRPr="00887DD5" w:rsidRDefault="00E45F93" w:rsidP="002722A7">
            <w:pPr>
              <w:rPr>
                <w:rFonts w:ascii="Calibri" w:hAnsi="Calibri" w:cs="Calibri"/>
              </w:rPr>
            </w:pPr>
            <w:r w:rsidRPr="00887DD5">
              <w:rPr>
                <w:rFonts w:ascii="Calibri" w:hAnsi="Calibri" w:cs="Calibri"/>
              </w:rPr>
              <w:t xml:space="preserve"> Offers extensive authentication &amp; authorization options: API Key, IAM, Cognito User Pool, Cognito Identity Pool, and external IDPs </w:t>
            </w:r>
          </w:p>
        </w:tc>
        <w:tc>
          <w:tcPr>
            <w:tcW w:w="4678" w:type="dxa"/>
          </w:tcPr>
          <w:p w14:paraId="683CFC81" w14:textId="02CFCDC8" w:rsidR="00E45F93" w:rsidRPr="00887DD5" w:rsidRDefault="00E45F93" w:rsidP="002722A7">
            <w:pPr>
              <w:rPr>
                <w:rFonts w:ascii="Calibri" w:hAnsi="Calibri" w:cs="Calibri"/>
              </w:rPr>
            </w:pPr>
            <w:r w:rsidRPr="00887DD5">
              <w:rPr>
                <w:rFonts w:ascii="Calibri" w:hAnsi="Calibri" w:cs="Calibri"/>
              </w:rPr>
              <w:t xml:space="preserve"> Can integrate with any OIDC-compliant identity provider </w:t>
            </w:r>
          </w:p>
        </w:tc>
      </w:tr>
      <w:tr w:rsidR="00E45F93" w:rsidRPr="00887DD5" w14:paraId="5C83274C" w14:textId="77777777" w:rsidTr="00887DD5">
        <w:tc>
          <w:tcPr>
            <w:tcW w:w="846" w:type="dxa"/>
          </w:tcPr>
          <w:p w14:paraId="42A11BDD" w14:textId="60790816" w:rsidR="00E45F93" w:rsidRPr="00887DD5" w:rsidRDefault="00E45F93" w:rsidP="002722A7">
            <w:pPr>
              <w:rPr>
                <w:rFonts w:ascii="Calibri" w:hAnsi="Calibri" w:cs="Calibri"/>
              </w:rPr>
            </w:pPr>
            <w:r w:rsidRPr="00887DD5">
              <w:rPr>
                <w:rFonts w:ascii="Calibri" w:hAnsi="Calibri" w:cs="Calibri"/>
              </w:rPr>
              <w:t xml:space="preserve"> 9 </w:t>
            </w:r>
          </w:p>
        </w:tc>
        <w:tc>
          <w:tcPr>
            <w:tcW w:w="4536" w:type="dxa"/>
          </w:tcPr>
          <w:p w14:paraId="39B6BE49" w14:textId="69FB5914" w:rsidR="00E45F93" w:rsidRPr="00887DD5" w:rsidRDefault="00E45F93" w:rsidP="002722A7">
            <w:pPr>
              <w:rPr>
                <w:rFonts w:ascii="Calibri" w:hAnsi="Calibri" w:cs="Calibri"/>
              </w:rPr>
            </w:pPr>
            <w:r w:rsidRPr="00887DD5">
              <w:rPr>
                <w:rFonts w:ascii="Calibri" w:hAnsi="Calibri" w:cs="Calibri"/>
              </w:rPr>
              <w:t xml:space="preserve"> Supports response caching for performance optimization </w:t>
            </w:r>
          </w:p>
        </w:tc>
        <w:tc>
          <w:tcPr>
            <w:tcW w:w="4678" w:type="dxa"/>
          </w:tcPr>
          <w:p w14:paraId="32AEB78F" w14:textId="7D69162D" w:rsidR="00E45F93" w:rsidRPr="00887DD5" w:rsidRDefault="00E45F93" w:rsidP="002722A7">
            <w:pPr>
              <w:rPr>
                <w:rFonts w:ascii="Calibri" w:hAnsi="Calibri" w:cs="Calibri"/>
              </w:rPr>
            </w:pPr>
            <w:r w:rsidRPr="00887DD5">
              <w:rPr>
                <w:rFonts w:ascii="Calibri" w:hAnsi="Calibri" w:cs="Calibri"/>
              </w:rPr>
              <w:t xml:space="preserve"> Does not provide caching capabilities </w:t>
            </w:r>
          </w:p>
        </w:tc>
      </w:tr>
      <w:tr w:rsidR="00E45F93" w:rsidRPr="00887DD5" w14:paraId="7274D503" w14:textId="77777777" w:rsidTr="00887DD5">
        <w:tc>
          <w:tcPr>
            <w:tcW w:w="846" w:type="dxa"/>
          </w:tcPr>
          <w:p w14:paraId="1E70B66A" w14:textId="56A9BA50" w:rsidR="00E45F93" w:rsidRPr="00887DD5" w:rsidRDefault="00E45F93" w:rsidP="002722A7">
            <w:pPr>
              <w:rPr>
                <w:rFonts w:ascii="Calibri" w:hAnsi="Calibri" w:cs="Calibri"/>
              </w:rPr>
            </w:pPr>
            <w:r w:rsidRPr="00887DD5">
              <w:rPr>
                <w:rFonts w:ascii="Calibri" w:hAnsi="Calibri" w:cs="Calibri"/>
              </w:rPr>
              <w:lastRenderedPageBreak/>
              <w:t xml:space="preserve"> 10 </w:t>
            </w:r>
          </w:p>
        </w:tc>
        <w:tc>
          <w:tcPr>
            <w:tcW w:w="4536" w:type="dxa"/>
          </w:tcPr>
          <w:p w14:paraId="6512BBED" w14:textId="444BC38B" w:rsidR="00E45F93" w:rsidRPr="00887DD5" w:rsidRDefault="00E45F93" w:rsidP="002722A7">
            <w:pPr>
              <w:rPr>
                <w:rFonts w:ascii="Calibri" w:hAnsi="Calibri" w:cs="Calibri"/>
              </w:rPr>
            </w:pPr>
            <w:r w:rsidRPr="00887DD5">
              <w:rPr>
                <w:rFonts w:ascii="Calibri" w:hAnsi="Calibri" w:cs="Calibri"/>
              </w:rPr>
              <w:t xml:space="preserve"> Can integrate with all AWS services </w:t>
            </w:r>
          </w:p>
        </w:tc>
        <w:tc>
          <w:tcPr>
            <w:tcW w:w="4678" w:type="dxa"/>
          </w:tcPr>
          <w:p w14:paraId="1AC04E83" w14:textId="038E4F8B" w:rsidR="00E45F93" w:rsidRPr="00887DD5" w:rsidRDefault="00E45F93" w:rsidP="002722A7">
            <w:pPr>
              <w:rPr>
                <w:rFonts w:ascii="Calibri" w:hAnsi="Calibri" w:cs="Calibri"/>
              </w:rPr>
            </w:pPr>
            <w:r w:rsidRPr="00887DD5">
              <w:rPr>
                <w:rFonts w:ascii="Calibri" w:hAnsi="Calibri" w:cs="Calibri"/>
              </w:rPr>
              <w:t xml:space="preserve"> Supports integration with EC2, Lambda, and IP-based backends </w:t>
            </w:r>
          </w:p>
        </w:tc>
      </w:tr>
      <w:tr w:rsidR="00E45F93" w:rsidRPr="00887DD5" w14:paraId="5795587C" w14:textId="77777777" w:rsidTr="00887DD5">
        <w:tc>
          <w:tcPr>
            <w:tcW w:w="846" w:type="dxa"/>
          </w:tcPr>
          <w:p w14:paraId="77795975" w14:textId="3ECC395C" w:rsidR="00E45F93" w:rsidRPr="00887DD5" w:rsidRDefault="00E45F93" w:rsidP="002722A7">
            <w:pPr>
              <w:rPr>
                <w:rFonts w:ascii="Calibri" w:hAnsi="Calibri" w:cs="Calibri"/>
              </w:rPr>
            </w:pPr>
            <w:r w:rsidRPr="00887DD5">
              <w:rPr>
                <w:rFonts w:ascii="Calibri" w:hAnsi="Calibri" w:cs="Calibri"/>
              </w:rPr>
              <w:t xml:space="preserve"> 11 </w:t>
            </w:r>
          </w:p>
        </w:tc>
        <w:tc>
          <w:tcPr>
            <w:tcW w:w="4536" w:type="dxa"/>
          </w:tcPr>
          <w:p w14:paraId="0569CC1A" w14:textId="01F6C471" w:rsidR="00E45F93" w:rsidRPr="00887DD5" w:rsidRDefault="00E45F93" w:rsidP="002722A7">
            <w:pPr>
              <w:rPr>
                <w:rFonts w:ascii="Calibri" w:hAnsi="Calibri" w:cs="Calibri"/>
              </w:rPr>
            </w:pPr>
            <w:r w:rsidRPr="00887DD5">
              <w:rPr>
                <w:rFonts w:ascii="Calibri" w:hAnsi="Calibri" w:cs="Calibri"/>
              </w:rPr>
              <w:t xml:space="preserve"> Does not offer health checks </w:t>
            </w:r>
          </w:p>
        </w:tc>
        <w:tc>
          <w:tcPr>
            <w:tcW w:w="4678" w:type="dxa"/>
          </w:tcPr>
          <w:p w14:paraId="46C7B8D1" w14:textId="4E458329" w:rsidR="00E45F93" w:rsidRPr="00887DD5" w:rsidRDefault="00E45F93" w:rsidP="002722A7">
            <w:pPr>
              <w:rPr>
                <w:rFonts w:ascii="Calibri" w:hAnsi="Calibri" w:cs="Calibri"/>
              </w:rPr>
            </w:pPr>
            <w:r w:rsidRPr="00887DD5">
              <w:rPr>
                <w:rFonts w:ascii="Calibri" w:hAnsi="Calibri" w:cs="Calibri"/>
              </w:rPr>
              <w:t xml:space="preserve"> Provides health check capabilities </w:t>
            </w:r>
          </w:p>
        </w:tc>
      </w:tr>
      <w:tr w:rsidR="00E45F93" w:rsidRPr="00887DD5" w14:paraId="279B9D3E" w14:textId="77777777" w:rsidTr="00887DD5">
        <w:tc>
          <w:tcPr>
            <w:tcW w:w="846" w:type="dxa"/>
          </w:tcPr>
          <w:p w14:paraId="4F58966D" w14:textId="456D2636" w:rsidR="00E45F93" w:rsidRPr="00887DD5" w:rsidRDefault="00E45F93" w:rsidP="002722A7">
            <w:pPr>
              <w:rPr>
                <w:rFonts w:ascii="Calibri" w:hAnsi="Calibri" w:cs="Calibri"/>
              </w:rPr>
            </w:pPr>
            <w:r w:rsidRPr="00887DD5">
              <w:rPr>
                <w:rFonts w:ascii="Calibri" w:hAnsi="Calibri" w:cs="Calibri"/>
              </w:rPr>
              <w:t xml:space="preserve"> 12 </w:t>
            </w:r>
          </w:p>
        </w:tc>
        <w:tc>
          <w:tcPr>
            <w:tcW w:w="4536" w:type="dxa"/>
          </w:tcPr>
          <w:p w14:paraId="148FC484" w14:textId="7F467CEA" w:rsidR="00E45F93" w:rsidRPr="00887DD5" w:rsidRDefault="00E45F93" w:rsidP="002722A7">
            <w:pPr>
              <w:rPr>
                <w:rFonts w:ascii="Calibri" w:hAnsi="Calibri" w:cs="Calibri"/>
              </w:rPr>
            </w:pPr>
            <w:r w:rsidRPr="00887DD5">
              <w:rPr>
                <w:rFonts w:ascii="Calibri" w:hAnsi="Calibri" w:cs="Calibri"/>
              </w:rPr>
              <w:t xml:space="preserve"> Follows a pay-per-use model </w:t>
            </w:r>
          </w:p>
        </w:tc>
        <w:tc>
          <w:tcPr>
            <w:tcW w:w="4678" w:type="dxa"/>
          </w:tcPr>
          <w:p w14:paraId="6A72CB86" w14:textId="18A7015E" w:rsidR="00E45F93" w:rsidRPr="00887DD5" w:rsidRDefault="00E45F93" w:rsidP="002722A7">
            <w:pPr>
              <w:rPr>
                <w:rFonts w:ascii="Calibri" w:hAnsi="Calibri" w:cs="Calibri"/>
              </w:rPr>
            </w:pPr>
            <w:r w:rsidRPr="00887DD5">
              <w:rPr>
                <w:rFonts w:ascii="Calibri" w:hAnsi="Calibri" w:cs="Calibri"/>
              </w:rPr>
              <w:t xml:space="preserve"> Charges for idle instances as well </w:t>
            </w:r>
          </w:p>
        </w:tc>
      </w:tr>
    </w:tbl>
    <w:p w14:paraId="1A7CFE27" w14:textId="77777777" w:rsidR="008E004D" w:rsidRDefault="008E004D"/>
    <w:p w14:paraId="4B9445EB" w14:textId="77777777" w:rsidR="008E004D" w:rsidRDefault="008E004D"/>
    <w:p w14:paraId="4AEFC76A" w14:textId="77777777" w:rsidR="00E64789" w:rsidRDefault="00E64789"/>
    <w:sectPr w:rsidR="00E64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F4AE6"/>
    <w:multiLevelType w:val="hybridMultilevel"/>
    <w:tmpl w:val="5CCC9C24"/>
    <w:lvl w:ilvl="0" w:tplc="92949A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49705C"/>
    <w:multiLevelType w:val="multilevel"/>
    <w:tmpl w:val="802C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453330">
    <w:abstractNumId w:val="1"/>
  </w:num>
  <w:num w:numId="2" w16cid:durableId="63178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8F"/>
    <w:rsid w:val="0035538D"/>
    <w:rsid w:val="00365FEB"/>
    <w:rsid w:val="003C4985"/>
    <w:rsid w:val="00401794"/>
    <w:rsid w:val="00422B6A"/>
    <w:rsid w:val="00432ED7"/>
    <w:rsid w:val="005A127D"/>
    <w:rsid w:val="00887DD5"/>
    <w:rsid w:val="008D7BDE"/>
    <w:rsid w:val="008E004D"/>
    <w:rsid w:val="009524B4"/>
    <w:rsid w:val="00A3458F"/>
    <w:rsid w:val="00BF0F90"/>
    <w:rsid w:val="00D76403"/>
    <w:rsid w:val="00E45F93"/>
    <w:rsid w:val="00E64789"/>
    <w:rsid w:val="00EA0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8738"/>
  <w15:chartTrackingRefBased/>
  <w15:docId w15:val="{1EF59C55-80B4-4801-AC33-A63E43EF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5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5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5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5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5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5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5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5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58F"/>
    <w:rPr>
      <w:rFonts w:eastAsiaTheme="majorEastAsia" w:cstheme="majorBidi"/>
      <w:color w:val="272727" w:themeColor="text1" w:themeTint="D8"/>
    </w:rPr>
  </w:style>
  <w:style w:type="paragraph" w:styleId="Title">
    <w:name w:val="Title"/>
    <w:basedOn w:val="Normal"/>
    <w:next w:val="Normal"/>
    <w:link w:val="TitleChar"/>
    <w:uiPriority w:val="10"/>
    <w:qFormat/>
    <w:rsid w:val="00A34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58F"/>
    <w:pPr>
      <w:spacing w:before="160"/>
      <w:jc w:val="center"/>
    </w:pPr>
    <w:rPr>
      <w:i/>
      <w:iCs/>
      <w:color w:val="404040" w:themeColor="text1" w:themeTint="BF"/>
    </w:rPr>
  </w:style>
  <w:style w:type="character" w:customStyle="1" w:styleId="QuoteChar">
    <w:name w:val="Quote Char"/>
    <w:basedOn w:val="DefaultParagraphFont"/>
    <w:link w:val="Quote"/>
    <w:uiPriority w:val="29"/>
    <w:rsid w:val="00A3458F"/>
    <w:rPr>
      <w:i/>
      <w:iCs/>
      <w:color w:val="404040" w:themeColor="text1" w:themeTint="BF"/>
    </w:rPr>
  </w:style>
  <w:style w:type="paragraph" w:styleId="ListParagraph">
    <w:name w:val="List Paragraph"/>
    <w:basedOn w:val="Normal"/>
    <w:uiPriority w:val="34"/>
    <w:qFormat/>
    <w:rsid w:val="00A3458F"/>
    <w:pPr>
      <w:ind w:left="720"/>
      <w:contextualSpacing/>
    </w:pPr>
  </w:style>
  <w:style w:type="character" w:styleId="IntenseEmphasis">
    <w:name w:val="Intense Emphasis"/>
    <w:basedOn w:val="DefaultParagraphFont"/>
    <w:uiPriority w:val="21"/>
    <w:qFormat/>
    <w:rsid w:val="00A3458F"/>
    <w:rPr>
      <w:i/>
      <w:iCs/>
      <w:color w:val="0F4761" w:themeColor="accent1" w:themeShade="BF"/>
    </w:rPr>
  </w:style>
  <w:style w:type="paragraph" w:styleId="IntenseQuote">
    <w:name w:val="Intense Quote"/>
    <w:basedOn w:val="Normal"/>
    <w:next w:val="Normal"/>
    <w:link w:val="IntenseQuoteChar"/>
    <w:uiPriority w:val="30"/>
    <w:qFormat/>
    <w:rsid w:val="00A34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58F"/>
    <w:rPr>
      <w:i/>
      <w:iCs/>
      <w:color w:val="0F4761" w:themeColor="accent1" w:themeShade="BF"/>
    </w:rPr>
  </w:style>
  <w:style w:type="character" w:styleId="IntenseReference">
    <w:name w:val="Intense Reference"/>
    <w:basedOn w:val="DefaultParagraphFont"/>
    <w:uiPriority w:val="32"/>
    <w:qFormat/>
    <w:rsid w:val="00A3458F"/>
    <w:rPr>
      <w:b/>
      <w:bCs/>
      <w:smallCaps/>
      <w:color w:val="0F4761" w:themeColor="accent1" w:themeShade="BF"/>
      <w:spacing w:val="5"/>
    </w:rPr>
  </w:style>
  <w:style w:type="table" w:styleId="TableGrid">
    <w:name w:val="Table Grid"/>
    <w:basedOn w:val="TableNormal"/>
    <w:uiPriority w:val="39"/>
    <w:rsid w:val="00A34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804186">
      <w:bodyDiv w:val="1"/>
      <w:marLeft w:val="0"/>
      <w:marRight w:val="0"/>
      <w:marTop w:val="0"/>
      <w:marBottom w:val="0"/>
      <w:divBdr>
        <w:top w:val="none" w:sz="0" w:space="0" w:color="auto"/>
        <w:left w:val="none" w:sz="0" w:space="0" w:color="auto"/>
        <w:bottom w:val="none" w:sz="0" w:space="0" w:color="auto"/>
        <w:right w:val="none" w:sz="0" w:space="0" w:color="auto"/>
      </w:divBdr>
    </w:div>
    <w:div w:id="673918950">
      <w:bodyDiv w:val="1"/>
      <w:marLeft w:val="0"/>
      <w:marRight w:val="0"/>
      <w:marTop w:val="0"/>
      <w:marBottom w:val="0"/>
      <w:divBdr>
        <w:top w:val="none" w:sz="0" w:space="0" w:color="auto"/>
        <w:left w:val="none" w:sz="0" w:space="0" w:color="auto"/>
        <w:bottom w:val="none" w:sz="0" w:space="0" w:color="auto"/>
        <w:right w:val="none" w:sz="0" w:space="0" w:color="auto"/>
      </w:divBdr>
    </w:div>
    <w:div w:id="1382359355">
      <w:bodyDiv w:val="1"/>
      <w:marLeft w:val="0"/>
      <w:marRight w:val="0"/>
      <w:marTop w:val="0"/>
      <w:marBottom w:val="0"/>
      <w:divBdr>
        <w:top w:val="none" w:sz="0" w:space="0" w:color="auto"/>
        <w:left w:val="none" w:sz="0" w:space="0" w:color="auto"/>
        <w:bottom w:val="none" w:sz="0" w:space="0" w:color="auto"/>
        <w:right w:val="none" w:sz="0" w:space="0" w:color="auto"/>
      </w:divBdr>
    </w:div>
    <w:div w:id="1625767691">
      <w:bodyDiv w:val="1"/>
      <w:marLeft w:val="0"/>
      <w:marRight w:val="0"/>
      <w:marTop w:val="0"/>
      <w:marBottom w:val="0"/>
      <w:divBdr>
        <w:top w:val="none" w:sz="0" w:space="0" w:color="auto"/>
        <w:left w:val="none" w:sz="0" w:space="0" w:color="auto"/>
        <w:bottom w:val="none" w:sz="0" w:space="0" w:color="auto"/>
        <w:right w:val="none" w:sz="0" w:space="0" w:color="auto"/>
      </w:divBdr>
    </w:div>
    <w:div w:id="177674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3149</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Singh</dc:creator>
  <cp:keywords/>
  <dc:description/>
  <cp:lastModifiedBy>Rajbir Singh</cp:lastModifiedBy>
  <cp:revision>2</cp:revision>
  <dcterms:created xsi:type="dcterms:W3CDTF">2025-06-05T15:16:00Z</dcterms:created>
  <dcterms:modified xsi:type="dcterms:W3CDTF">2025-06-08T16:27:00Z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655256-13e9-4c0b-ba73-c54361842301_Enabled">
    <vt:lpwstr>true</vt:lpwstr>
  </property>
  <property fmtid="{D5CDD505-2E9C-101B-9397-08002B2CF9AE}" pid="3" name="MSIP_Label_ec655256-13e9-4c0b-ba73-c54361842301_SetDate">
    <vt:lpwstr>2025-06-08T08:48:57Z</vt:lpwstr>
  </property>
  <property fmtid="{D5CDD505-2E9C-101B-9397-08002B2CF9AE}" pid="4" name="MSIP_Label_ec655256-13e9-4c0b-ba73-c54361842301_Method">
    <vt:lpwstr>Privileged</vt:lpwstr>
  </property>
  <property fmtid="{D5CDD505-2E9C-101B-9397-08002B2CF9AE}" pid="5" name="MSIP_Label_ec655256-13e9-4c0b-ba73-c54361842301_Name">
    <vt:lpwstr>Public</vt:lpwstr>
  </property>
  <property fmtid="{D5CDD505-2E9C-101B-9397-08002B2CF9AE}" pid="6" name="MSIP_Label_ec655256-13e9-4c0b-ba73-c54361842301_SiteId">
    <vt:lpwstr>edf442f5-b994-4c86-a131-b42b03a16c95</vt:lpwstr>
  </property>
  <property fmtid="{D5CDD505-2E9C-101B-9397-08002B2CF9AE}" pid="7" name="MSIP_Label_ec655256-13e9-4c0b-ba73-c54361842301_ActionId">
    <vt:lpwstr>8ded0670-f901-47ca-aab5-3ed60e509c14</vt:lpwstr>
  </property>
  <property fmtid="{D5CDD505-2E9C-101B-9397-08002B2CF9AE}" pid="8" name="MSIP_Label_ec655256-13e9-4c0b-ba73-c54361842301_ContentBits">
    <vt:lpwstr>0</vt:lpwstr>
  </property>
  <property fmtid="{D5CDD505-2E9C-101B-9397-08002B2CF9AE}" pid="9" name="MSIP_Label_ec655256-13e9-4c0b-ba73-c54361842301_Tag">
    <vt:lpwstr>10, 0, 1, 1</vt:lpwstr>
  </property>
</Properties>
</file>