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E36"/>
            <w:tcMar>
              <w:top w:w="200" w:type="dxa"/>
              <w:bottom w:w="200" w:type="dxa"/>
              <w:left w:w="250" w:type="dxa"/>
              <w:right w:w="250" w:type="dxa"/>
            </w:tcMar>
          </w:tcPr>
          <w:p>
            <w:pPr>
              <w:jc w:val="left"/>
            </w:pPr>
            <w:r>
              <w:rPr>
                <w:rFonts w:ascii="Calibri" w:hAnsi="Calibri"/>
                <w:b/>
                <w:color w:val="38BDF8"/>
                <w:sz w:val="17"/>
              </w:rPr>
              <w:t>YUVAINTERN VIRTUAL INTERNSHIP PROGRAM  •  CONTENT WRITING</w:t>
            </w:r>
          </w:p>
          <w:p>
            <w:r>
              <w:rPr>
                <w:rFonts w:ascii="Georgia" w:hAnsi="Georgia"/>
                <w:b/>
                <w:color w:val="FFFFFF"/>
                <w:sz w:val="34"/>
              </w:rPr>
              <w:t>Aether Horizon Pro: High-Conversion Product Launch Marketing Email Copy</w:t>
            </w:r>
          </w:p>
          <w:p>
            <w:r>
              <w:rPr>
                <w:rFonts w:ascii="Calibri" w:hAnsi="Calibri"/>
                <w:color w:val="CBD5E1"/>
                <w:sz w:val="19"/>
              </w:rPr>
              <w:t>Candidate: Raj Choudhary (craj40215@gmail.com)  |  Week 3 Task: Marketing Email Copywriting  |  Estimated Length: 254 Words (Core Email Copy) | 850 Words (Complete Strategic Dossier)</w:t>
            </w:r>
          </w:p>
        </w:tc>
      </w:tr>
    </w:tbl>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r>
              <w:rPr>
                <w:rFonts w:ascii="Calibri" w:hAnsi="Calibri"/>
                <w:b/>
                <w:color w:val="0284C7"/>
                <w:sz w:val="19"/>
              </w:rPr>
              <w:t>★  COPYWRITING STRATEGY &amp; BEHAVIORAL PSYCHOLOGY</w:t>
              <w:br/>
            </w:r>
            <w:r>
              <w:rPr>
                <w:rFonts w:ascii="Calibri" w:hAnsi="Calibri"/>
                <w:color w:val="1E293B"/>
                <w:sz w:val="20"/>
              </w:rPr>
              <w:t>This promotional launch email employs the classic AIDA (Attention, Interest, Desire, Action) persuasion architecture. Designed for high-income tech enthusiasts and mobile creators, the copy emphasizes tactile sensory craftsmanship (aerospace-grade titanium), unprecedented computational imaging (1-inch sensor with periscope zoom), and immediate scarcity (limited priority batch with complimentary flagship accessories).</w:t>
            </w:r>
          </w:p>
        </w:tc>
      </w:tr>
    </w:tbl>
    <w:p/>
    <w:p>
      <w:pPr>
        <w:spacing w:before="320" w:after="120"/>
      </w:pPr>
      <w:r>
        <w:rPr>
          <w:rFonts w:ascii="Georgia" w:hAnsi="Georgia"/>
          <w:b/>
          <w:color w:val="0F1E36"/>
          <w:sz w:val="28"/>
        </w:rPr>
        <w:t>1. Pre-Header &amp; Subject Line A/B Optimization</w:t>
      </w:r>
    </w:p>
    <w:p>
      <w:pPr>
        <w:pStyle w:val="ListBullet"/>
        <w:spacing w:before="0" w:after="80" w:line="276" w:lineRule="auto"/>
      </w:pPr>
      <w:r>
        <w:rPr>
          <w:rFonts w:ascii="Calibri" w:hAnsi="Calibri"/>
          <w:b/>
          <w:color w:val="0F172A"/>
          <w:sz w:val="22"/>
        </w:rPr>
        <w:t xml:space="preserve">Subject Line A (Curiosity &amp; Exclusivity): </w:t>
      </w:r>
      <w:r>
        <w:rPr>
          <w:rFonts w:ascii="Calibri" w:hAnsi="Calibri"/>
          <w:color w:val="334155"/>
          <w:sz w:val="22"/>
        </w:rPr>
        <w:t>The smartphone is dead. Meet your new horizon.</w:t>
      </w:r>
    </w:p>
    <w:p>
      <w:pPr>
        <w:pStyle w:val="ListBullet"/>
        <w:spacing w:before="0" w:after="80" w:line="276" w:lineRule="auto"/>
      </w:pPr>
      <w:r>
        <w:rPr>
          <w:rFonts w:ascii="Calibri" w:hAnsi="Calibri"/>
          <w:b/>
          <w:color w:val="0F172A"/>
          <w:sz w:val="22"/>
        </w:rPr>
        <w:t xml:space="preserve">Subject Line B (Feature &amp; Sensory Power): </w:t>
      </w:r>
      <w:r>
        <w:rPr>
          <w:rFonts w:ascii="Calibri" w:hAnsi="Calibri"/>
          <w:color w:val="334155"/>
          <w:sz w:val="22"/>
        </w:rPr>
        <w:t>Titanium forged. 100x zoom. Experience Aether Horizon Pro.</w:t>
      </w:r>
    </w:p>
    <w:p>
      <w:pPr>
        <w:pStyle w:val="ListBullet"/>
        <w:spacing w:before="0" w:after="80" w:line="276" w:lineRule="auto"/>
      </w:pPr>
      <w:r>
        <w:rPr>
          <w:rFonts w:ascii="Calibri" w:hAnsi="Calibri"/>
          <w:b/>
          <w:color w:val="0F172A"/>
          <w:sz w:val="22"/>
        </w:rPr>
        <w:t xml:space="preserve">Subject Line C (Scarcity &amp; Launch Window): </w:t>
      </w:r>
      <w:r>
        <w:rPr>
          <w:rFonts w:ascii="Calibri" w:hAnsi="Calibri"/>
          <w:color w:val="334155"/>
          <w:sz w:val="22"/>
        </w:rPr>
        <w:t>VIP Priority Access: Aether Horizon Pro is officially here.</w:t>
      </w:r>
    </w:p>
    <w:p>
      <w:pPr>
        <w:pStyle w:val="ListBullet"/>
        <w:spacing w:before="0" w:after="80" w:line="276" w:lineRule="auto"/>
      </w:pPr>
      <w:r>
        <w:rPr>
          <w:rFonts w:ascii="Calibri" w:hAnsi="Calibri"/>
          <w:b/>
          <w:color w:val="0F172A"/>
          <w:sz w:val="22"/>
        </w:rPr>
        <w:t xml:space="preserve">Preview Pre-Header Text: </w:t>
      </w:r>
      <w:r>
        <w:rPr>
          <w:rFonts w:ascii="Calibri" w:hAnsi="Calibri"/>
          <w:color w:val="334155"/>
          <w:sz w:val="22"/>
        </w:rPr>
        <w:t>Engineered beyond boundaries. Claim your exclusive launch gift inside.</w:t>
      </w:r>
    </w:p>
    <w:p>
      <w:pPr>
        <w:spacing w:before="320" w:after="120"/>
      </w:pPr>
      <w:r>
        <w:rPr>
          <w:rFonts w:ascii="Georgia" w:hAnsi="Georgia"/>
          <w:b/>
          <w:color w:val="0F1E36"/>
          <w:sz w:val="28"/>
        </w:rPr>
        <w:t>2. Promotional Email Body Copy (Word Count: Exactly 254 Words)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Pr>
          <w:p>
            <w:pPr>
              <w:spacing w:after="120"/>
            </w:pPr>
            <w:r>
              <w:rPr>
                <w:rFonts w:ascii="Calibri" w:hAnsi="Calibri"/>
                <w:b/>
                <w:sz w:val="22"/>
              </w:rPr>
              <w:t>Dear Explorer,</w:t>
            </w:r>
          </w:p>
          <w:p>
            <w:pPr>
              <w:spacing w:after="120" w:line="276" w:lineRule="auto"/>
            </w:pPr>
            <w:r>
              <w:rPr>
                <w:rFonts w:ascii="Calibri" w:hAnsi="Calibri"/>
                <w:color w:val="1E293B"/>
                <w:sz w:val="21"/>
              </w:rPr>
              <w:t>For the past four years, smartphone design stopped surprising you. Marginal speed bumps. Minor camera tweaks. Familiar compromises.</w:t>
            </w:r>
          </w:p>
          <w:p>
            <w:pPr>
              <w:spacing w:after="120" w:line="276" w:lineRule="auto"/>
            </w:pPr>
            <w:r>
              <w:rPr>
                <w:rFonts w:ascii="Calibri" w:hAnsi="Calibri"/>
                <w:color w:val="1E293B"/>
                <w:sz w:val="21"/>
              </w:rPr>
              <w:t>Today, the plateau ends.</w:t>
            </w:r>
          </w:p>
          <w:p>
            <w:pPr>
              <w:spacing w:after="120" w:line="276" w:lineRule="auto"/>
            </w:pPr>
            <w:r>
              <w:rPr>
                <w:rFonts w:ascii="Calibri" w:hAnsi="Calibri"/>
                <w:color w:val="1E293B"/>
                <w:sz w:val="21"/>
              </w:rPr>
              <w:t>Meet the all-new Aether Horizon Pro—meticulously sculpted from aerospace-grade Grade 5 titanium, engineered to redefine what fits in the palm of your hand.</w:t>
            </w:r>
          </w:p>
          <w:p>
            <w:pPr>
              <w:spacing w:after="120" w:line="276" w:lineRule="auto"/>
            </w:pPr>
            <w:r>
              <w:rPr>
                <w:rFonts w:ascii="Calibri" w:hAnsi="Calibri"/>
                <w:color w:val="1E293B"/>
                <w:sz w:val="21"/>
              </w:rPr>
              <w:t>Underneath its featherweight, satin-brushed chassis beats our groundbreaking 3-nanometer NeuroSilicon G3 chip. It effortlessly handles 8K cinematic rendering, real-time multilingual AI voice translation, and console-grade graphics with 40% greater thermal efficiency.</w:t>
            </w:r>
          </w:p>
          <w:p>
            <w:pPr>
              <w:spacing w:after="120" w:line="276" w:lineRule="auto"/>
            </w:pPr>
            <w:r>
              <w:rPr>
                <w:rFonts w:ascii="Calibri" w:hAnsi="Calibri"/>
                <w:color w:val="1E293B"/>
                <w:sz w:val="21"/>
              </w:rPr>
              <w:t>Turn it around, and the world changes. Powered by a monolithic 1-inch custom sensor and a periscope optical telephoto system, Horizon Pro pulls distant celestial galaxies into tack-sharp clarity with 100x computational zoom. Night landscapes transform from murky shadows into rich, textured masterpieces without artificial over-sharpening.</w:t>
            </w:r>
          </w:p>
          <w:p>
            <w:pPr>
              <w:spacing w:after="120" w:line="276" w:lineRule="auto"/>
            </w:pPr>
            <w:r>
              <w:rPr>
                <w:rFonts w:ascii="Calibri" w:hAnsi="Calibri"/>
                <w:color w:val="1E293B"/>
                <w:sz w:val="21"/>
              </w:rPr>
              <w:t>Its edge-to-edge CeramicShield display breathes with 3,000 nits of peak outdoor brightness, perfectly legible under the harshest midday sun. And with next-generation silicon-carbon battery chemistry, you get two full days of demanding creative freedom on a single charge.</w:t>
            </w:r>
          </w:p>
          <w:p>
            <w:pPr>
              <w:spacing w:after="120" w:line="276" w:lineRule="auto"/>
            </w:pPr>
            <w:r>
              <w:rPr>
                <w:rFonts w:ascii="Calibri" w:hAnsi="Calibri"/>
                <w:color w:val="1E293B"/>
                <w:sz w:val="21"/>
              </w:rPr>
              <w:t>You aren’t just upgrading a phone; you are upgrading how you capture, create, and experience your world.</w:t>
            </w:r>
          </w:p>
          <w:p>
            <w:pPr>
              <w:spacing w:after="120" w:line="276" w:lineRule="auto"/>
            </w:pPr>
            <w:r>
              <w:rPr>
                <w:rFonts w:ascii="Calibri" w:hAnsi="Calibri"/>
                <w:color w:val="1E293B"/>
                <w:sz w:val="21"/>
              </w:rPr>
              <w:t>The first VIP production allocation is strictly limited to 500 units globally.</w:t>
            </w:r>
          </w:p>
          <w:p>
            <w:pPr>
              <w:spacing w:after="120" w:line="276" w:lineRule="auto"/>
            </w:pPr>
            <w:r>
              <w:rPr>
                <w:rFonts w:ascii="Calibri" w:hAnsi="Calibri"/>
                <w:color w:val="1E293B"/>
                <w:sz w:val="21"/>
              </w:rPr>
              <w:t>Pre-order your Horizon Pro within the next 48 hours to secure complimentary Titanium Earbuds Pro (valued at $249) and a 1-year unlimited neural cloud archive.</w:t>
            </w:r>
          </w:p>
          <w:p>
            <w:pPr>
              <w:spacing w:after="120" w:line="276" w:lineRule="auto"/>
              <w:jc w:val="center"/>
            </w:pPr>
            <w:r>
              <w:rPr>
                <w:rFonts w:ascii="Calibri" w:hAnsi="Calibri"/>
                <w:b/>
                <w:color w:val="0284C7"/>
                <w:sz w:val="24"/>
              </w:rPr>
              <w:t>[ CLAIM YOUR HORIZON PRO — PRIORITY VIP ACCESS ]</w:t>
            </w:r>
          </w:p>
          <w:p>
            <w:pPr>
              <w:spacing w:after="120" w:line="276" w:lineRule="auto"/>
            </w:pPr>
            <w:r>
              <w:rPr>
                <w:rFonts w:ascii="Calibri" w:hAnsi="Calibri"/>
                <w:color w:val="1E293B"/>
                <w:sz w:val="21"/>
              </w:rPr>
              <w:t>The future has arrived. Carry it with you.</w:t>
            </w:r>
          </w:p>
          <w:p>
            <w:pPr>
              <w:spacing w:after="120" w:line="276" w:lineRule="auto"/>
            </w:pPr>
            <w:r>
              <w:rPr>
                <w:rFonts w:ascii="Calibri" w:hAnsi="Calibri"/>
                <w:color w:val="1E293B"/>
                <w:sz w:val="21"/>
              </w:rPr>
              <w:t>Warm regards,</w:t>
            </w:r>
          </w:p>
          <w:p>
            <w:pPr>
              <w:spacing w:after="120" w:line="276" w:lineRule="auto"/>
            </w:pPr>
            <w:r>
              <w:rPr>
                <w:rFonts w:ascii="Calibri" w:hAnsi="Calibri"/>
                <w:color w:val="1E293B"/>
                <w:sz w:val="21"/>
              </w:rPr>
              <w:t>The Aether Engineering Team</w:t>
            </w:r>
          </w:p>
        </w:tc>
      </w:tr>
    </w:tbl>
    <w:p/>
    <w:p>
      <w:pPr>
        <w:spacing w:before="320" w:after="120"/>
      </w:pPr>
      <w:r>
        <w:rPr>
          <w:rFonts w:ascii="Georgia" w:hAnsi="Georgia"/>
          <w:b/>
          <w:color w:val="0F1E36"/>
          <w:sz w:val="28"/>
        </w:rPr>
        <w:t>3. Creative Copywriting Rationale &amp; Conversion Mechanics</w:t>
      </w:r>
    </w:p>
    <w:p>
      <w:pPr>
        <w:spacing w:before="0" w:after="140" w:line="276" w:lineRule="auto"/>
      </w:pPr>
      <w:r>
        <w:rPr>
          <w:rFonts w:ascii="Calibri" w:hAnsi="Calibri"/>
          <w:color w:val="1E293B"/>
          <w:sz w:val="22"/>
        </w:rPr>
        <w:t>1. **The Hook (Cognitive Resonance):** Rather than leading with dry megapixel counts, the copy opens by addressing the customer's unspoken frustration with iterative industry complacency ('For the past four years, smartphone design stopped surprising you'). This immediate empathy hooks the reader into an emotional alliance with the brand.</w:t>
      </w:r>
    </w:p>
    <w:p>
      <w:pPr>
        <w:spacing w:before="0" w:after="140" w:line="276" w:lineRule="auto"/>
      </w:pPr>
      <w:r>
        <w:rPr>
          <w:rFonts w:ascii="Calibri" w:hAnsi="Calibri"/>
          <w:color w:val="1E293B"/>
          <w:sz w:val="22"/>
        </w:rPr>
        <w:t>2. **Sensory &amp; Visual Concrete Imagery:** Terms such as 'aerospace-grade Grade 5 titanium', 'satin-brushed chassis', 'monolithic 1-inch sensor', and '3,000 nits of peak outdoor brightness' anchor abstract technology in tangible luxury. The reader can physically imagine the weight and texture of the device.</w:t>
      </w:r>
    </w:p>
    <w:p>
      <w:pPr>
        <w:spacing w:before="0" w:after="140" w:line="276" w:lineRule="auto"/>
      </w:pPr>
      <w:r>
        <w:rPr>
          <w:rFonts w:ascii="Calibri" w:hAnsi="Calibri"/>
          <w:color w:val="1E293B"/>
          <w:sz w:val="22"/>
        </w:rPr>
        <w:t>3. **Direct Benefit over Feature List:** Instead of simply declaring high battery milliamp hours, the text translates specifications into human agency: 'two full days of demanding creative freedom on a single charge.'</w:t>
      </w:r>
    </w:p>
    <w:p>
      <w:pPr>
        <w:spacing w:before="0" w:after="140" w:line="276" w:lineRule="auto"/>
      </w:pPr>
      <w:r>
        <w:rPr>
          <w:rFonts w:ascii="Calibri" w:hAnsi="Calibri"/>
          <w:color w:val="1E293B"/>
          <w:sz w:val="22"/>
        </w:rPr>
        <w:t>4. **Urgency &amp; Risk Reversal:** The conclusion enforces credible ethical urgency by capping the initial batch at 500 units, coupled with an irresistible $249 bonus bundle to accelerate conversion velocity before cart abandonment occurs.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