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PSM INFINITY</w:t>
      </w:r>
    </w:p>
    <w:p>
      <w:pPr>
        <w:jc w:val="center"/>
      </w:pPr>
      <w:r>
        <w:rPr>
          <w:b/>
          <w:sz w:val="28"/>
        </w:rPr>
        <w:t>ADDITIONAL BACKEND &amp; PLATFORM DEVELOPMENT</w:t>
      </w:r>
    </w:p>
    <w:p>
      <w:pPr>
        <w:jc w:val="center"/>
      </w:pPr>
      <w:r>
        <w:rPr>
          <w:i/>
        </w:rPr>
        <w:t>Additional Scope &amp; Commercial Proposal</w:t>
      </w:r>
    </w:p>
    <w:p>
      <w:pPr>
        <w:pStyle w:val="Heading1"/>
      </w:pPr>
      <w:r>
        <w:t>1. Purpose</w:t>
      </w:r>
    </w:p>
    <w:p>
      <w:r>
        <w:t>Following the latest project discussions, PSM Infinity has requested backend and platform capabilities in addition to the originally accepted frontend/UI/UX and animation scope. This document defines the additional functionality, commercial pricing and scope boundaries for those requirements.</w:t>
      </w:r>
    </w:p>
    <w:p>
      <w:r>
        <w:t>The original frontend project remains valued at ₹58,000. The prices below relate only to the additional backend/platform scope described in this document.</w:t>
      </w:r>
    </w:p>
    <w:p>
      <w:pPr>
        <w:pStyle w:val="Heading1"/>
      </w:pPr>
      <w:r>
        <w:t>2. Commercial Summary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pPr>
              <w:spacing w:after="0"/>
            </w:pPr>
            <w:r/>
            <w:r>
              <w:rPr>
                <w:b/>
                <w:sz w:val="16"/>
              </w:rPr>
              <w:t>Original frontend / animation scope</w:t>
            </w:r>
          </w:p>
        </w:tc>
        <w:tc>
          <w:tcPr>
            <w:tcW w:type="dxa" w:w="5184"/>
            <w:vAlign w:val="top"/>
          </w:tcPr>
          <w:p>
            <w:pPr>
              <w:spacing w:after="0"/>
            </w:pPr>
            <w:r/>
            <w:r>
              <w:rPr>
                <w:b/>
                <w:sz w:val="16"/>
              </w:rPr>
              <w:t>₹58,000</w:t>
            </w:r>
          </w:p>
        </w:tc>
      </w:tr>
      <w:tr>
        <w:tc>
          <w:tcPr>
            <w:tcW w:type="dxa" w:w="5184"/>
            <w:vAlign w:val="top"/>
          </w:tcPr>
          <w:p>
            <w:pPr>
              <w:spacing w:after="0"/>
            </w:pPr>
            <w:r/>
            <w:r>
              <w:rPr>
                <w:b/>
                <w:sz w:val="16"/>
              </w:rPr>
              <w:t>Included additional backend/platform scope</w:t>
            </w:r>
          </w:p>
        </w:tc>
        <w:tc>
          <w:tcPr>
            <w:tcW w:type="dxa" w:w="5184"/>
            <w:vAlign w:val="top"/>
            <w:shd w:fill="E2F0D9"/>
          </w:tcPr>
          <w:p>
            <w:pPr>
              <w:spacing w:after="0"/>
            </w:pPr>
            <w:r/>
            <w:r>
              <w:rPr>
                <w:b/>
                <w:sz w:val="16"/>
              </w:rPr>
              <w:t>₹75,000</w:t>
            </w:r>
          </w:p>
        </w:tc>
      </w:tr>
      <w:tr>
        <w:tc>
          <w:tcPr>
            <w:tcW w:type="dxa" w:w="5184"/>
            <w:vAlign w:val="top"/>
            <w:shd w:fill="D9E2F3"/>
          </w:tcPr>
          <w:p>
            <w:pPr>
              <w:spacing w:after="0"/>
            </w:pPr>
            <w:r/>
            <w:r>
              <w:rPr>
                <w:b/>
                <w:sz w:val="16"/>
              </w:rPr>
              <w:t>Current total project value</w:t>
            </w:r>
          </w:p>
        </w:tc>
        <w:tc>
          <w:tcPr>
            <w:tcW w:type="dxa" w:w="5184"/>
            <w:vAlign w:val="top"/>
            <w:shd w:fill="D9E2F3"/>
          </w:tcPr>
          <w:p>
            <w:pPr>
              <w:spacing w:after="0"/>
            </w:pPr>
            <w:r/>
            <w:r>
              <w:rPr>
                <w:b/>
                <w:sz w:val="16"/>
              </w:rPr>
              <w:t>₹1,33,000</w:t>
            </w:r>
          </w:p>
        </w:tc>
      </w:tr>
      <w:tr>
        <w:tc>
          <w:tcPr>
            <w:tcW w:type="dxa" w:w="5184"/>
            <w:vAlign w:val="top"/>
          </w:tcPr>
          <w:p>
            <w:pPr>
              <w:spacing w:after="0"/>
            </w:pPr>
            <w:r/>
            <w:r>
              <w:rPr>
                <w:b/>
                <w:sz w:val="16"/>
              </w:rPr>
              <w:t>GST / taxes</w:t>
            </w:r>
          </w:p>
        </w:tc>
        <w:tc>
          <w:tcPr>
            <w:tcW w:type="dxa" w:w="5184"/>
            <w:vAlign w:val="top"/>
          </w:tcPr>
          <w:p>
            <w:pPr>
              <w:spacing w:after="0"/>
            </w:pPr>
            <w:r/>
            <w:r>
              <w:rPr>
                <w:b/>
                <w:sz w:val="16"/>
              </w:rPr>
              <w:t>Not included / not applicable</w:t>
            </w:r>
          </w:p>
        </w:tc>
      </w:tr>
    </w:tbl>
    <w:p>
      <w:r>
        <w:rPr>
          <w:b/>
        </w:rPr>
        <w:t xml:space="preserve">IMPORTANT: </w:t>
      </w:r>
      <w:r>
        <w:t>The ₹75,000 figure includes ONLY items marked INCLUDED below. Optional / Excluded items are priced separately and are NOT included in the ₹75,000 total. If selected, their price is added to the project value.</w:t>
      </w:r>
    </w:p>
    <w:p>
      <w:pPr>
        <w:pStyle w:val="Heading1"/>
      </w:pPr>
      <w:r>
        <w:t>3. Detailed Additional Scope &amp; Pricing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2F3"/>
          </w:tcPr>
          <w:p>
            <w:pPr>
              <w:spacing w:after="0"/>
            </w:pPr>
            <w:r/>
            <w:r>
              <w:rPr>
                <w:b/>
                <w:sz w:val="17"/>
              </w:rPr>
              <w:t>MODULE</w:t>
            </w:r>
          </w:p>
        </w:tc>
        <w:tc>
          <w:tcPr>
            <w:tcW w:type="dxa" w:w="2592"/>
            <w:vAlign w:val="top"/>
            <w:shd w:fill="D9E2F3"/>
          </w:tcPr>
          <w:p>
            <w:pPr>
              <w:spacing w:after="0"/>
            </w:pPr>
            <w:r/>
            <w:r>
              <w:rPr>
                <w:b/>
                <w:sz w:val="17"/>
              </w:rPr>
              <w:t>SCOPE / DELIVERABLES</w:t>
            </w:r>
          </w:p>
        </w:tc>
        <w:tc>
          <w:tcPr>
            <w:tcW w:type="dxa" w:w="2592"/>
            <w:vAlign w:val="top"/>
            <w:shd w:fill="D9E2F3"/>
          </w:tcPr>
          <w:p>
            <w:pPr>
              <w:spacing w:after="0"/>
            </w:pPr>
            <w:r/>
            <w:r>
              <w:rPr>
                <w:b/>
                <w:sz w:val="17"/>
              </w:rPr>
              <w:t>STATUS</w:t>
            </w:r>
          </w:p>
        </w:tc>
        <w:tc>
          <w:tcPr>
            <w:tcW w:type="dxa" w:w="2592"/>
            <w:vAlign w:val="top"/>
            <w:shd w:fill="D9E2F3"/>
          </w:tcPr>
          <w:p>
            <w:pPr>
              <w:spacing w:after="0"/>
            </w:pPr>
            <w:r/>
            <w:r>
              <w:rPr>
                <w:b/>
                <w:sz w:val="17"/>
              </w:rPr>
              <w:t>PRICE</w:t>
            </w:r>
          </w:p>
        </w:tc>
      </w:tr>
      <w:tr>
        <w:tc>
          <w:tcPr>
            <w:tcW w:type="dxa" w:w="2592"/>
            <w:vAlign w:val="top"/>
          </w:tcPr>
          <w:p>
            <w:pPr>
              <w:spacing w:after="0"/>
            </w:pPr>
            <w:r/>
            <w:r>
              <w:rPr>
                <w:b/>
                <w:sz w:val="16"/>
              </w:rPr>
              <w:t>1. Backend &amp; Database Foundation</w:t>
            </w:r>
          </w:p>
        </w:tc>
        <w:tc>
          <w:tcPr>
            <w:tcW w:type="dxa" w:w="2592"/>
            <w:vAlign w:val="top"/>
          </w:tcPr>
          <w:p>
            <w:pPr>
              <w:spacing w:after="0"/>
            </w:pPr>
            <w:r/>
            <w:r>
              <w:rPr>
                <w:b w:val="0"/>
                <w:sz w:val="16"/>
              </w:rPr>
              <w:t>Database architecture; backend/API layer; structured data for industries, companies and products; relationships between records; validation and basic error handling.</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₹15,000</w:t>
            </w:r>
          </w:p>
        </w:tc>
      </w:tr>
      <w:tr>
        <w:tc>
          <w:tcPr>
            <w:tcW w:type="dxa" w:w="2592"/>
            <w:vAlign w:val="top"/>
          </w:tcPr>
          <w:p>
            <w:pPr>
              <w:spacing w:after="0"/>
            </w:pPr>
            <w:r/>
            <w:r>
              <w:rPr>
                <w:b/>
                <w:sz w:val="16"/>
              </w:rPr>
              <w:t>2. Owner-Only Authentication</w:t>
            </w:r>
          </w:p>
        </w:tc>
        <w:tc>
          <w:tcPr>
            <w:tcW w:type="dxa" w:w="2592"/>
            <w:vAlign w:val="top"/>
          </w:tcPr>
          <w:p>
            <w:pPr>
              <w:spacing w:after="0"/>
            </w:pPr>
            <w:r/>
            <w:r>
              <w:rPr>
                <w:b w:val="0"/>
                <w:sz w:val="16"/>
              </w:rPr>
              <w:t>Secure login for the PSM Infinity owner/administrator. Single owner/admin role only.</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₹5,000</w:t>
            </w:r>
          </w:p>
        </w:tc>
      </w:tr>
      <w:tr>
        <w:tc>
          <w:tcPr>
            <w:tcW w:type="dxa" w:w="2592"/>
            <w:vAlign w:val="top"/>
          </w:tcPr>
          <w:p>
            <w:pPr>
              <w:spacing w:after="0"/>
            </w:pPr>
            <w:r/>
            <w:r>
              <w:rPr>
                <w:b/>
                <w:sz w:val="16"/>
              </w:rPr>
              <w:t>3. Admin Dashboard</w:t>
            </w:r>
          </w:p>
        </w:tc>
        <w:tc>
          <w:tcPr>
            <w:tcW w:type="dxa" w:w="2592"/>
            <w:vAlign w:val="top"/>
          </w:tcPr>
          <w:p>
            <w:pPr>
              <w:spacing w:after="0"/>
            </w:pPr>
            <w:r/>
            <w:r>
              <w:rPr>
                <w:b w:val="0"/>
                <w:sz w:val="16"/>
              </w:rPr>
              <w:t>Owner dashboard for managing agreed website content and viewing administrative information.</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₹7,500</w:t>
            </w:r>
          </w:p>
        </w:tc>
      </w:tr>
      <w:tr>
        <w:tc>
          <w:tcPr>
            <w:tcW w:type="dxa" w:w="2592"/>
            <w:vAlign w:val="top"/>
          </w:tcPr>
          <w:p>
            <w:pPr>
              <w:spacing w:after="0"/>
            </w:pPr>
            <w:r/>
            <w:r>
              <w:rPr>
                <w:b/>
                <w:sz w:val="16"/>
              </w:rPr>
              <w:t>4. Industry Management</w:t>
            </w:r>
          </w:p>
        </w:tc>
        <w:tc>
          <w:tcPr>
            <w:tcW w:type="dxa" w:w="2592"/>
            <w:vAlign w:val="top"/>
          </w:tcPr>
          <w:p>
            <w:pPr>
              <w:spacing w:after="0"/>
            </w:pPr>
            <w:r/>
            <w:r>
              <w:rPr>
                <w:b w:val="0"/>
                <w:sz w:val="16"/>
              </w:rPr>
              <w:t>Add, edit and delete industries/categories; manage associated basic content.</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₹5,000</w:t>
            </w:r>
          </w:p>
        </w:tc>
      </w:tr>
      <w:tr>
        <w:tc>
          <w:tcPr>
            <w:tcW w:type="dxa" w:w="2592"/>
            <w:vAlign w:val="top"/>
          </w:tcPr>
          <w:p>
            <w:pPr>
              <w:spacing w:after="0"/>
            </w:pPr>
            <w:r/>
            <w:r>
              <w:rPr>
                <w:b/>
                <w:sz w:val="16"/>
              </w:rPr>
              <w:t>5. Company Management</w:t>
            </w:r>
          </w:p>
        </w:tc>
        <w:tc>
          <w:tcPr>
            <w:tcW w:type="dxa" w:w="2592"/>
            <w:vAlign w:val="top"/>
          </w:tcPr>
          <w:p>
            <w:pPr>
              <w:spacing w:after="0"/>
            </w:pPr>
            <w:r/>
            <w:r>
              <w:rPr>
                <w:b w:val="0"/>
                <w:sz w:val="16"/>
              </w:rPr>
              <w:t>Add, edit and delete companies; manage company information, logo/media, industry association and external URL.</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₹7,500</w:t>
            </w:r>
          </w:p>
        </w:tc>
      </w:tr>
      <w:tr>
        <w:tc>
          <w:tcPr>
            <w:tcW w:type="dxa" w:w="2592"/>
            <w:vAlign w:val="top"/>
          </w:tcPr>
          <w:p>
            <w:pPr>
              <w:spacing w:after="0"/>
            </w:pPr>
            <w:r/>
            <w:r>
              <w:rPr>
                <w:b/>
                <w:sz w:val="16"/>
              </w:rPr>
              <w:t>6. Product Management</w:t>
            </w:r>
          </w:p>
        </w:tc>
        <w:tc>
          <w:tcPr>
            <w:tcW w:type="dxa" w:w="2592"/>
            <w:vAlign w:val="top"/>
          </w:tcPr>
          <w:p>
            <w:pPr>
              <w:spacing w:after="0"/>
            </w:pPr>
            <w:r/>
            <w:r>
              <w:rPr>
                <w:b w:val="0"/>
                <w:sz w:val="16"/>
              </w:rPr>
              <w:t>Add, edit and delete products; manage product information, company/industry association, media and external URL.</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₹7,500</w:t>
            </w:r>
          </w:p>
        </w:tc>
      </w:tr>
      <w:tr>
        <w:tc>
          <w:tcPr>
            <w:tcW w:type="dxa" w:w="2592"/>
            <w:vAlign w:val="top"/>
          </w:tcPr>
          <w:p>
            <w:pPr>
              <w:spacing w:after="0"/>
            </w:pPr>
            <w:r/>
            <w:r>
              <w:rPr>
                <w:b/>
                <w:sz w:val="16"/>
              </w:rPr>
              <w:t>7. Basic Media Management</w:t>
            </w:r>
          </w:p>
        </w:tc>
        <w:tc>
          <w:tcPr>
            <w:tcW w:type="dxa" w:w="2592"/>
            <w:vAlign w:val="top"/>
          </w:tcPr>
          <w:p>
            <w:pPr>
              <w:spacing w:after="0"/>
            </w:pPr>
            <w:r/>
            <w:r>
              <w:rPr>
                <w:b w:val="0"/>
                <w:sz w:val="16"/>
              </w:rPr>
              <w:t>Upload/manage relevant images and media associated with managed content, subject to agreed storage/provider limits.</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₹4,000</w:t>
            </w:r>
          </w:p>
        </w:tc>
      </w:tr>
      <w:tr>
        <w:tc>
          <w:tcPr>
            <w:tcW w:type="dxa" w:w="2592"/>
            <w:vAlign w:val="top"/>
          </w:tcPr>
          <w:p>
            <w:pPr>
              <w:spacing w:after="0"/>
            </w:pPr>
            <w:r/>
            <w:r>
              <w:rPr>
                <w:b/>
                <w:sz w:val="16"/>
              </w:rPr>
              <w:t>8. Search</w:t>
            </w:r>
          </w:p>
        </w:tc>
        <w:tc>
          <w:tcPr>
            <w:tcW w:type="dxa" w:w="2592"/>
            <w:vAlign w:val="top"/>
          </w:tcPr>
          <w:p>
            <w:pPr>
              <w:spacing w:after="0"/>
            </w:pPr>
            <w:r/>
            <w:r>
              <w:rPr>
                <w:b w:val="0"/>
                <w:sz w:val="16"/>
              </w:rPr>
              <w:t>Website search across agreed company/product/content records.</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₹5,000</w:t>
            </w:r>
          </w:p>
        </w:tc>
      </w:tr>
      <w:tr>
        <w:tc>
          <w:tcPr>
            <w:tcW w:type="dxa" w:w="2592"/>
            <w:vAlign w:val="top"/>
          </w:tcPr>
          <w:p>
            <w:pPr>
              <w:spacing w:after="0"/>
            </w:pPr>
            <w:r/>
            <w:r>
              <w:rPr>
                <w:b/>
                <w:sz w:val="16"/>
              </w:rPr>
              <w:t>9. Basic Filtering</w:t>
            </w:r>
          </w:p>
        </w:tc>
        <w:tc>
          <w:tcPr>
            <w:tcW w:type="dxa" w:w="2592"/>
            <w:vAlign w:val="top"/>
          </w:tcPr>
          <w:p>
            <w:pPr>
              <w:spacing w:after="0"/>
            </w:pPr>
            <w:r/>
            <w:r>
              <w:rPr>
                <w:b w:val="0"/>
                <w:sz w:val="16"/>
              </w:rPr>
              <w:t>Filtering by agreed fields such as industry/category and other fields supported by the final data structure.</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₹4,000</w:t>
            </w:r>
          </w:p>
        </w:tc>
      </w:tr>
      <w:tr>
        <w:tc>
          <w:tcPr>
            <w:tcW w:type="dxa" w:w="2592"/>
            <w:vAlign w:val="top"/>
          </w:tcPr>
          <w:p>
            <w:pPr>
              <w:spacing w:after="0"/>
            </w:pPr>
            <w:r/>
            <w:r>
              <w:rPr>
                <w:b/>
                <w:sz w:val="16"/>
              </w:rPr>
              <w:t>10. Basic Visitor Analytics</w:t>
            </w:r>
          </w:p>
        </w:tc>
        <w:tc>
          <w:tcPr>
            <w:tcW w:type="dxa" w:w="2592"/>
            <w:vAlign w:val="top"/>
          </w:tcPr>
          <w:p>
            <w:pPr>
              <w:spacing w:after="0"/>
            </w:pPr>
            <w:r/>
            <w:r>
              <w:rPr>
                <w:b w:val="0"/>
                <w:sz w:val="16"/>
              </w:rPr>
              <w:t>Basic website usage and visitor insights, including available country/region/device and similar basic metrics. Age-group demographics only where supported by the selected provider and applicable privacy/consent settings.</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₹5,000</w:t>
            </w:r>
          </w:p>
        </w:tc>
      </w:tr>
      <w:tr>
        <w:tc>
          <w:tcPr>
            <w:tcW w:type="dxa" w:w="2592"/>
            <w:vAlign w:val="top"/>
          </w:tcPr>
          <w:p>
            <w:pPr>
              <w:spacing w:after="0"/>
            </w:pPr>
            <w:r/>
            <w:r>
              <w:rPr>
                <w:b/>
                <w:sz w:val="16"/>
              </w:rPr>
              <w:t>11. Basic Analytics Dashboard</w:t>
            </w:r>
          </w:p>
        </w:tc>
        <w:tc>
          <w:tcPr>
            <w:tcW w:type="dxa" w:w="2592"/>
            <w:vAlign w:val="top"/>
          </w:tcPr>
          <w:p>
            <w:pPr>
              <w:spacing w:after="0"/>
            </w:pPr>
            <w:r/>
            <w:r>
              <w:rPr>
                <w:b w:val="0"/>
                <w:sz w:val="16"/>
              </w:rPr>
              <w:t>Basic administrative presentation of agreed analytics metrics; not an advanced BI/reporting system.</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₹3,000</w:t>
            </w:r>
          </w:p>
        </w:tc>
      </w:tr>
      <w:tr>
        <w:tc>
          <w:tcPr>
            <w:tcW w:type="dxa" w:w="2592"/>
            <w:vAlign w:val="top"/>
          </w:tcPr>
          <w:p>
            <w:pPr>
              <w:spacing w:after="0"/>
            </w:pPr>
            <w:r/>
            <w:r>
              <w:rPr>
                <w:b/>
                <w:sz w:val="16"/>
              </w:rPr>
              <w:t>12. Inquiry / Contact Integration</w:t>
            </w:r>
          </w:p>
        </w:tc>
        <w:tc>
          <w:tcPr>
            <w:tcW w:type="dxa" w:w="2592"/>
            <w:vAlign w:val="top"/>
          </w:tcPr>
          <w:p>
            <w:pPr>
              <w:spacing w:after="0"/>
            </w:pPr>
            <w:r/>
            <w:r>
              <w:rPr>
                <w:b w:val="0"/>
                <w:sz w:val="16"/>
              </w:rPr>
              <w:t>Basic inquiry pathway using the final agreed destination: WhatsApp, website form and/or email. Exact flow to be finalized before implementation.</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₹4,000</w:t>
            </w:r>
          </w:p>
        </w:tc>
      </w:tr>
      <w:tr>
        <w:tc>
          <w:tcPr>
            <w:tcW w:type="dxa" w:w="2592"/>
            <w:vAlign w:val="top"/>
          </w:tcPr>
          <w:p>
            <w:pPr>
              <w:spacing w:after="0"/>
            </w:pPr>
            <w:r/>
            <w:r>
              <w:rPr>
                <w:b/>
                <w:sz w:val="16"/>
              </w:rPr>
              <w:t>13. Basic 24/7 AI Chatbot Integration</w:t>
            </w:r>
          </w:p>
        </w:tc>
        <w:tc>
          <w:tcPr>
            <w:tcW w:type="dxa" w:w="2592"/>
            <w:vAlign w:val="top"/>
          </w:tcPr>
          <w:p>
            <w:pPr>
              <w:spacing w:after="0"/>
            </w:pPr>
            <w:r/>
            <w:r>
              <w:rPr>
                <w:b w:val="0"/>
                <w:sz w:val="16"/>
              </w:rPr>
              <w:t>Basic AI chatbot for answering visitor questions using approved PSM Infinity information and website content. Exact provider/functionality subject to technical feasibility.</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₹4,000</w:t>
            </w:r>
          </w:p>
        </w:tc>
      </w:tr>
      <w:tr>
        <w:tc>
          <w:tcPr>
            <w:tcW w:type="dxa" w:w="2592"/>
            <w:vAlign w:val="top"/>
          </w:tcPr>
          <w:p>
            <w:pPr>
              <w:spacing w:after="0"/>
            </w:pPr>
            <w:r/>
            <w:r>
              <w:rPr>
                <w:b/>
                <w:sz w:val="16"/>
              </w:rPr>
              <w:t>14. Frontend–Backend Integration &amp; Deployment</w:t>
            </w:r>
          </w:p>
        </w:tc>
        <w:tc>
          <w:tcPr>
            <w:tcW w:type="dxa" w:w="2592"/>
            <w:vAlign w:val="top"/>
          </w:tcPr>
          <w:p>
            <w:pPr>
              <w:spacing w:after="0"/>
            </w:pPr>
            <w:r/>
            <w:r>
              <w:rPr>
                <w:b w:val="0"/>
                <w:sz w:val="16"/>
              </w:rPr>
              <w:t>Connect the approved frontend to backend-managed content; testing and deployment of the expanded system.</w:t>
            </w:r>
          </w:p>
        </w:tc>
        <w:tc>
          <w:tcPr>
            <w:tcW w:type="dxa" w:w="2592"/>
            <w:vAlign w:val="top"/>
            <w:shd w:fill="E2F0D9"/>
          </w:tcPr>
          <w:p>
            <w:pPr>
              <w:spacing w:after="0"/>
            </w:pPr>
            <w:r/>
            <w:r>
              <w:rPr>
                <w:b/>
                <w:sz w:val="16"/>
              </w:rPr>
              <w:t>INCLUDED</w:t>
            </w:r>
          </w:p>
        </w:tc>
        <w:tc>
          <w:tcPr>
            <w:tcW w:type="dxa" w:w="2592"/>
            <w:vAlign w:val="top"/>
            <w:shd w:fill="E2F0D9"/>
          </w:tcPr>
          <w:p>
            <w:pPr>
              <w:spacing w:after="0"/>
            </w:pPr>
            <w:r/>
            <w:r>
              <w:rPr>
                <w:b/>
                <w:sz w:val="16"/>
              </w:rPr>
              <w:t>₹3,500</w:t>
            </w:r>
          </w:p>
        </w:tc>
      </w:tr>
      <w:tr>
        <w:tc>
          <w:tcPr>
            <w:tcW w:type="dxa" w:w="2592"/>
            <w:vAlign w:val="top"/>
          </w:tcPr>
          <w:p>
            <w:pPr>
              <w:spacing w:after="0"/>
            </w:pPr>
            <w:r/>
            <w:r>
              <w:rPr>
                <w:b/>
                <w:sz w:val="16"/>
              </w:rPr>
              <w:t>15. Vendor Portal</w:t>
            </w:r>
          </w:p>
        </w:tc>
        <w:tc>
          <w:tcPr>
            <w:tcW w:type="dxa" w:w="2592"/>
            <w:vAlign w:val="top"/>
          </w:tcPr>
          <w:p>
            <w:pPr>
              <w:spacing w:after="0"/>
            </w:pPr>
            <w:r/>
            <w:r>
              <w:rPr>
                <w:b w:val="0"/>
                <w:sz w:val="16"/>
              </w:rPr>
              <w:t>Vendor/company login, vendor dashboard, vendor self-service content management and vendor onboarding.</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₹25,000</w:t>
            </w:r>
          </w:p>
        </w:tc>
      </w:tr>
      <w:tr>
        <w:tc>
          <w:tcPr>
            <w:tcW w:type="dxa" w:w="2592"/>
            <w:vAlign w:val="top"/>
          </w:tcPr>
          <w:p>
            <w:pPr>
              <w:spacing w:after="0"/>
            </w:pPr>
            <w:r/>
            <w:r>
              <w:rPr>
                <w:b/>
                <w:sz w:val="16"/>
              </w:rPr>
              <w:t>16. CRM Integration</w:t>
            </w:r>
          </w:p>
        </w:tc>
        <w:tc>
          <w:tcPr>
            <w:tcW w:type="dxa" w:w="2592"/>
            <w:vAlign w:val="top"/>
          </w:tcPr>
          <w:p>
            <w:pPr>
              <w:spacing w:after="0"/>
            </w:pPr>
            <w:r/>
            <w:r>
              <w:rPr>
                <w:b w:val="0"/>
                <w:sz w:val="16"/>
              </w:rPr>
              <w:t>Integration with third-party CRM platforms and associated lead synchronization/workflows.</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₹20,000</w:t>
            </w:r>
          </w:p>
        </w:tc>
      </w:tr>
      <w:tr>
        <w:tc>
          <w:tcPr>
            <w:tcW w:type="dxa" w:w="2592"/>
            <w:vAlign w:val="top"/>
          </w:tcPr>
          <w:p>
            <w:pPr>
              <w:spacing w:after="0"/>
            </w:pPr>
            <w:r/>
            <w:r>
              <w:rPr>
                <w:b/>
                <w:sz w:val="16"/>
              </w:rPr>
              <w:t>17. Advanced Analytics / BI</w:t>
            </w:r>
          </w:p>
        </w:tc>
        <w:tc>
          <w:tcPr>
            <w:tcW w:type="dxa" w:w="2592"/>
            <w:vAlign w:val="top"/>
          </w:tcPr>
          <w:p>
            <w:pPr>
              <w:spacing w:after="0"/>
            </w:pPr>
            <w:r/>
            <w:r>
              <w:rPr>
                <w:b w:val="0"/>
                <w:sz w:val="16"/>
              </w:rPr>
              <w:t>Advanced dashboards, custom reporting, detailed conversion funnels, cross-dimensional reporting and BI-style analytics.</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₹20,000</w:t>
            </w:r>
          </w:p>
        </w:tc>
      </w:tr>
      <w:tr>
        <w:tc>
          <w:tcPr>
            <w:tcW w:type="dxa" w:w="2592"/>
            <w:vAlign w:val="top"/>
          </w:tcPr>
          <w:p>
            <w:pPr>
              <w:spacing w:after="0"/>
            </w:pPr>
            <w:r/>
            <w:r>
              <w:rPr>
                <w:b/>
                <w:sz w:val="16"/>
              </w:rPr>
              <w:t>18. Automated Lead Routing</w:t>
            </w:r>
          </w:p>
        </w:tc>
        <w:tc>
          <w:tcPr>
            <w:tcW w:type="dxa" w:w="2592"/>
            <w:vAlign w:val="top"/>
          </w:tcPr>
          <w:p>
            <w:pPr>
              <w:spacing w:after="0"/>
            </w:pPr>
            <w:r/>
            <w:r>
              <w:rPr>
                <w:b w:val="0"/>
                <w:sz w:val="16"/>
              </w:rPr>
              <w:t>Automatic assignment of enquiries/leads to companies/vendors based on industry, product or other rules, including notification workflows.</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₹15,000</w:t>
            </w:r>
          </w:p>
        </w:tc>
      </w:tr>
      <w:tr>
        <w:tc>
          <w:tcPr>
            <w:tcW w:type="dxa" w:w="2592"/>
            <w:vAlign w:val="top"/>
          </w:tcPr>
          <w:p>
            <w:pPr>
              <w:spacing w:after="0"/>
            </w:pPr>
            <w:r/>
            <w:r>
              <w:rPr>
                <w:b/>
                <w:sz w:val="16"/>
              </w:rPr>
              <w:t>19. Advanced AI Concierge / Chatbot</w:t>
            </w:r>
          </w:p>
        </w:tc>
        <w:tc>
          <w:tcPr>
            <w:tcW w:type="dxa" w:w="2592"/>
            <w:vAlign w:val="top"/>
          </w:tcPr>
          <w:p>
            <w:pPr>
              <w:spacing w:after="0"/>
            </w:pPr>
            <w:r/>
            <w:r>
              <w:rPr>
                <w:b w:val="0"/>
                <w:sz w:val="16"/>
              </w:rPr>
              <w:t>Advanced conversational AI capable of database-backed product/company discovery, recommendations, complex workflows or extensive custom knowledge-base/agent behavior.</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₹30,000</w:t>
            </w:r>
          </w:p>
        </w:tc>
      </w:tr>
      <w:tr>
        <w:tc>
          <w:tcPr>
            <w:tcW w:type="dxa" w:w="2592"/>
            <w:vAlign w:val="top"/>
          </w:tcPr>
          <w:p>
            <w:pPr>
              <w:spacing w:after="0"/>
            </w:pPr>
            <w:r/>
            <w:r>
              <w:rPr>
                <w:b/>
                <w:sz w:val="16"/>
              </w:rPr>
              <w:t>20. Marketplace / Transaction Functionality</w:t>
            </w:r>
          </w:p>
        </w:tc>
        <w:tc>
          <w:tcPr>
            <w:tcW w:type="dxa" w:w="2592"/>
            <w:vAlign w:val="top"/>
          </w:tcPr>
          <w:p>
            <w:pPr>
              <w:spacing w:after="0"/>
            </w:pPr>
            <w:r/>
            <w:r>
              <w:rPr>
                <w:b w:val="0"/>
                <w:sz w:val="16"/>
              </w:rPr>
              <w:t>Shopping cart, checkout, payments, transaction processing, order management or marketplace purchasing workflows.</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₹40,000</w:t>
            </w:r>
          </w:p>
        </w:tc>
      </w:tr>
      <w:tr>
        <w:tc>
          <w:tcPr>
            <w:tcW w:type="dxa" w:w="2592"/>
            <w:vAlign w:val="top"/>
          </w:tcPr>
          <w:p>
            <w:pPr>
              <w:spacing w:after="0"/>
            </w:pPr>
            <w:r/>
            <w:r>
              <w:rPr>
                <w:b/>
                <w:sz w:val="16"/>
              </w:rPr>
              <w:t>21. Additional User Roles &amp; Permissions</w:t>
            </w:r>
          </w:p>
        </w:tc>
        <w:tc>
          <w:tcPr>
            <w:tcW w:type="dxa" w:w="2592"/>
            <w:vAlign w:val="top"/>
          </w:tcPr>
          <w:p>
            <w:pPr>
              <w:spacing w:after="0"/>
            </w:pPr>
            <w:r/>
            <w:r>
              <w:rPr>
                <w:b w:val="0"/>
                <w:sz w:val="16"/>
              </w:rPr>
              <w:t>Multiple admin/staff roles, granular permissions, role-specific dashboards and access-control workflows beyond the single owner account.</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₹15,000</w:t>
            </w:r>
          </w:p>
        </w:tc>
      </w:tr>
      <w:tr>
        <w:tc>
          <w:tcPr>
            <w:tcW w:type="dxa" w:w="2592"/>
            <w:vAlign w:val="top"/>
          </w:tcPr>
          <w:p>
            <w:pPr>
              <w:spacing w:after="0"/>
            </w:pPr>
            <w:r/>
            <w:r>
              <w:rPr>
                <w:b/>
                <w:sz w:val="16"/>
              </w:rPr>
              <w:t>22. Advanced Backend Workflows</w:t>
            </w:r>
          </w:p>
        </w:tc>
        <w:tc>
          <w:tcPr>
            <w:tcW w:type="dxa" w:w="2592"/>
            <w:vAlign w:val="top"/>
          </w:tcPr>
          <w:p>
            <w:pPr>
              <w:spacing w:after="0"/>
            </w:pPr>
            <w:r/>
            <w:r>
              <w:rPr>
                <w:b w:val="0"/>
                <w:sz w:val="16"/>
              </w:rPr>
              <w:t>Complex approval systems, automated workflows, scheduled jobs, notifications, integrations or other backend automation beyond the listed scope.</w:t>
            </w:r>
          </w:p>
        </w:tc>
        <w:tc>
          <w:tcPr>
            <w:tcW w:type="dxa" w:w="2592"/>
            <w:vAlign w:val="top"/>
            <w:shd w:fill="FFF2CC"/>
          </w:tcPr>
          <w:p>
            <w:pPr>
              <w:spacing w:after="0"/>
            </w:pPr>
            <w:r/>
            <w:r>
              <w:rPr>
                <w:b/>
                <w:sz w:val="16"/>
              </w:rPr>
              <w:t>OPTIONAL / EXCLUDED</w:t>
            </w:r>
          </w:p>
        </w:tc>
        <w:tc>
          <w:tcPr>
            <w:tcW w:type="dxa" w:w="2592"/>
            <w:vAlign w:val="top"/>
            <w:shd w:fill="FFF2CC"/>
          </w:tcPr>
          <w:p>
            <w:pPr>
              <w:spacing w:after="0"/>
            </w:pPr>
            <w:r/>
            <w:r>
              <w:rPr>
                <w:b/>
                <w:sz w:val="16"/>
              </w:rPr>
              <w:t>₹20,000</w:t>
            </w:r>
          </w:p>
        </w:tc>
      </w:tr>
    </w:tbl>
    <w:p>
      <w:r>
        <w:rPr>
          <w:b/>
          <w:sz w:val="24"/>
        </w:rPr>
        <w:t>Included-module total: ₹75,000</w:t>
      </w:r>
      <w:r>
        <w:t xml:space="preserve"> — Only the modules marked INCLUDED are added to the current additional-scope total. Optional / Excluded modules are not included.</w:t>
      </w:r>
    </w:p>
    <w:p>
      <w:pPr>
        <w:pStyle w:val="Heading1"/>
      </w:pPr>
      <w:r>
        <w:t>4. Explicit Exclusions</w:t>
      </w:r>
    </w:p>
    <w:p>
      <w:pPr>
        <w:pStyle w:val="ListBullet"/>
      </w:pPr>
      <w:r>
        <w:t>Vendor portal or vendor/company self-service accounts.</w:t>
      </w:r>
    </w:p>
    <w:p>
      <w:pPr>
        <w:pStyle w:val="ListBullet"/>
      </w:pPr>
      <w:r>
        <w:t>CRM integration or CRM subscription/licensing costs.</w:t>
      </w:r>
    </w:p>
    <w:p>
      <w:pPr>
        <w:pStyle w:val="ListBullet"/>
      </w:pPr>
      <w:r>
        <w:t>Advanced analytics, BI dashboards or enterprise reporting.</w:t>
      </w:r>
    </w:p>
    <w:p>
      <w:pPr>
        <w:pStyle w:val="ListBullet"/>
      </w:pPr>
      <w:r>
        <w:t>Automated lead routing or vendor-specific lead workflows.</w:t>
      </w:r>
    </w:p>
    <w:p>
      <w:pPr>
        <w:pStyle w:val="ListBullet"/>
      </w:pPr>
      <w:r>
        <w:t>Marketplace transactions, checkout, payment processing or order management.</w:t>
      </w:r>
    </w:p>
    <w:p>
      <w:pPr>
        <w:pStyle w:val="ListBullet"/>
      </w:pPr>
      <w:r>
        <w:t>Multiple user roles or granular permissions beyond the single owner/admin account.</w:t>
      </w:r>
    </w:p>
    <w:p>
      <w:pPr>
        <w:pStyle w:val="ListBullet"/>
      </w:pPr>
      <w:r>
        <w:t>Complex backend automation beyond the modules explicitly listed as included.</w:t>
      </w:r>
    </w:p>
    <w:p>
      <w:pPr>
        <w:pStyle w:val="ListBullet"/>
      </w:pPr>
      <w:r>
        <w:t>Custom AI model development, AI training/fine-tuning, or extensive AI agent engineering.</w:t>
      </w:r>
    </w:p>
    <w:p>
      <w:pPr>
        <w:pStyle w:val="ListBullet"/>
      </w:pPr>
      <w:r>
        <w:t>Third-party subscription, API, hosting, storage, email, analytics or AI usage charges, unless explicitly stated otherwise.</w:t>
      </w:r>
    </w:p>
    <w:p>
      <w:pPr>
        <w:pStyle w:val="ListBullet"/>
      </w:pPr>
      <w:r>
        <w:t>Professional photography, videography, custom 3D modelling or custom product-video production.</w:t>
      </w:r>
    </w:p>
    <w:p>
      <w:pPr>
        <w:pStyle w:val="Heading1"/>
      </w:pPr>
      <w:r>
        <w:t>5. Chatbot Scope Boundary</w:t>
      </w:r>
    </w:p>
    <w:p>
      <w:r>
        <w:t>The included ₹4,000 chatbot allowance is for a basic 24/7 AI chatbot integration using approved PSM Infinity information and website content. It does not include a sophisticated AI business concierge, complex database reasoning, autonomous lead qualification, custom AI model training, extensive third-party integrations or unlimited prompt/knowledge-base engineering. Such functionality can be added under the separately priced Advanced AI Concierge / Chatbot module.</w:t>
      </w:r>
    </w:p>
    <w:p>
      <w:pPr>
        <w:pStyle w:val="Heading1"/>
      </w:pPr>
      <w:r>
        <w:t>6. Analytics Scope Boundary</w:t>
      </w:r>
    </w:p>
    <w:p>
      <w:r>
        <w:t>The included analytics scope is basic visitor and usage reporting. Geographic and device information, and demographic information such as age group, will depend on the selected analytics provider, user consent and the data made available by that provider. No guarantee is made that age or other demographic attributes will be available for every visitor.</w:t>
      </w:r>
    </w:p>
    <w:p>
      <w:pPr>
        <w:pStyle w:val="Heading1"/>
      </w:pPr>
      <w:r>
        <w:t>7. Content &amp; Asset Responsibility</w:t>
      </w:r>
    </w:p>
    <w:p>
      <w:r>
        <w:t>PSM Infinity will provide and approve logos, company information, product information, specifications, URLs, photographs, videos, industry information and factual claims. The development team will implement and present the approved material within the agreed system.</w:t>
      </w:r>
    </w:p>
    <w:p>
      <w:pPr>
        <w:pStyle w:val="Heading1"/>
      </w:pPr>
      <w:r>
        <w:t>8. Scope Change / Additional Work</w:t>
      </w:r>
    </w:p>
    <w:p>
      <w:r>
        <w:t>Any functionality not expressly listed as INCLUDED, or any material change to an approved workflow, data structure, design direction or integration requirement, will be treated as additional scope. Optional modules may be added at their listed prices subject to technical review and written approval.</w:t>
      </w:r>
    </w:p>
    <w:p>
      <w:pPr>
        <w:pStyle w:val="Heading1"/>
      </w:pPr>
      <w:r>
        <w:t>9. Commercial Note</w:t>
      </w:r>
    </w:p>
    <w:p>
      <w:r>
        <w:t>The current additional development investment is ₹75,000. Combined with the original ₹58,000 frontend scope, the current project total is ₹1,33,000. The total includes only the items explicitly marked INCLUDED in this document. Optional / Excluded items are not included in this total and will increase the project value if selected.</w:t>
      </w:r>
    </w:p>
    <w:p>
      <w:pPr>
        <w:jc w:val="center"/>
      </w:pPr>
      <w:r>
        <w:rPr>
          <w:i/>
          <w:sz w:val="16"/>
        </w:rPr>
        <w:t>PSM Infinity × Tothyoit — Additional Scope Proposal</w:t>
      </w:r>
    </w:p>
    <w:p>
      <w:pPr>
        <w:pStyle w:val="Heading1"/>
      </w:pPr>
      <w:r>
        <w:t>10. Payment Schedule — Additional Backend Scope</w:t>
      </w:r>
    </w:p>
    <w:p>
      <w:r>
        <w:rPr>
          <w:b/>
        </w:rPr>
        <w:t>Payment structure</w:t>
      </w:r>
    </w:p>
    <w:p>
      <w:r>
        <w:rPr>
          <w:b w:val="0"/>
        </w:rPr>
        <w:t>The additional backend/platform development fee of ₹75,000 will be payable in two equal milestones:</w:t>
      </w:r>
    </w:p>
    <w:p>
      <w:r>
        <w:rPr>
          <w:b/>
        </w:rPr>
        <w:t>Milestone 1 — Backend Development Advance: ₹37,500 (50%)</w:t>
      </w:r>
    </w:p>
    <w:p>
      <w:r>
        <w:rPr>
          <w:b w:val="0"/>
        </w:rPr>
        <w:t>Due upon written approval/acceptance of this additional scope and before commencement of backend/platform development.</w:t>
      </w:r>
    </w:p>
    <w:p>
      <w:r>
        <w:rPr>
          <w:b/>
        </w:rPr>
        <w:t>Milestone 2 — Final Backend Payment: ₹37,500 (50%)</w:t>
      </w:r>
    </w:p>
    <w:p>
      <w:r>
        <w:rPr>
          <w:b w:val="0"/>
        </w:rPr>
        <w:t>Due upon completion of the agreed INCLUDED backend/platform functionality, completion of agreed QA/testing, and before final production deployment and handover of the additional backend scope.</w:t>
      </w:r>
    </w:p>
    <w:p>
      <w:r>
        <w:rPr>
          <w:b/>
        </w:rPr>
        <w:t>Payment boundary</w:t>
      </w:r>
    </w:p>
    <w:p>
      <w:r>
        <w:rPr>
          <w:b w:val="0"/>
        </w:rPr>
        <w:t>The second milestone is tied to completion of the agreed INCLUDED functionality and QA/testing described in this document. Requests outside the included scope, additional revisions, new integrations, or optional modules do not delay the second milestone and will be treated as additional scope subject to approval.</w:t>
      </w:r>
    </w:p>
    <w:p>
      <w:r>
        <w:rPr>
          <w:b w:val="0"/>
        </w:rPr>
        <w:t>The original ₹29,000 frontend advance already paid remains credited against the original ₹58,000 frontend project scope and is separate from the additional ₹75,000 backend/platform fee.</w:t>
      </w:r>
    </w:p>
    <w:p>
      <w:pPr>
        <w:pStyle w:val="Heading1"/>
      </w:pPr>
      <w:r>
        <w:t>Acceptance &amp; Approval</w:t>
      </w:r>
    </w:p>
    <w:p>
      <w:r>
        <w:t>I/We confirm that we have reviewed and accepted the scope, inclusions, exclusions and commercial terms outlined in this document. The additional development investment of ₹75,000 is approved for the items marked INCLUDED. Any optional/additional items selected subsequently will be charged separately at the prices specified in this document, subject to confirmation.</w:t>
      </w:r>
      <w:r>
        <w:br/>
        <w:br/>
        <w:t>Authorized Representative: ______________________________</w:t>
      </w:r>
      <w:r>
        <w:br/>
        <w:t>Signature: ______________________________________________</w:t>
      </w:r>
      <w:r>
        <w:br/>
        <w:t>Date: __________________________________________________</w:t>
      </w:r>
      <w:r>
        <w:br/>
        <w:t>Company Stamp (if applicable): ___________________________</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