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mbria" w:hAnsi="Cambria"/>
          <w:b/>
          <w:color w:val="000000"/>
          <w:sz w:val="40"/>
        </w:rPr>
        <w:t>OIML R 106-1 Type Evaluation Prep</w:t>
      </w:r>
    </w:p>
    <w:p>
      <w:pPr>
        <w:jc w:val="center"/>
      </w:pPr>
      <w:r>
        <w:rPr>
          <w:i/>
        </w:rPr>
        <w:t>Indicator Module — ADJ Engineering Pvt. Ltd.</w:t>
      </w:r>
    </w:p>
    <w:p/>
    <w:p>
      <w:r>
        <w:t>Scope: this covers only the electronics/software module we're responsible for —</w:t>
      </w:r>
    </w:p>
    <w:p>
      <w:r>
        <w:rPr>
          <w:b/>
        </w:rPr>
        <w:t>IND570 + `basic_interface_ind570.py`</w:t>
      </w:r>
      <w:r>
        <w:t xml:space="preserve"> — submitted to the lab as a *module*</w:t>
      </w:r>
    </w:p>
    <w:p>
      <w:r>
        <w:t>under OIML R 106-1 §5.1.4, not the complete rail-weighbridge (load receptor,</w:t>
      </w:r>
    </w:p>
    <w:p>
      <w:r>
        <w:t>rails, aprons, wagon recognition are handled elsewhere and tested separately).</w:t>
      </w:r>
    </w:p>
    <w:p>
      <w:r>
        <w:t>The deployed field system does dynamic in-motion weighing; what we've built</w:t>
      </w:r>
    </w:p>
    <w:p>
      <w:r>
        <w:t>here is the display/indicator layer, which is why it's evaluated as a module</w:t>
      </w:r>
    </w:p>
    <w:p>
      <w:r>
        <w:t>rather than a complete instrument.</w:t>
      </w:r>
    </w:p>
    <w:p>
      <w:pPr>
        <w:pStyle w:val="Heading2"/>
      </w:pPr>
      <w:r>
        <w:rPr>
          <w:rFonts w:ascii="Cambria" w:hAnsi="Cambria"/>
          <w:color w:val="000000"/>
        </w:rPr>
        <w:t>1. Why "module" evaluation (§5.1.4)</w:t>
      </w:r>
    </w:p>
    <w:p>
      <w:r>
        <w:t>Testing a complete rail-weighbridge as one unit isn't practical here since</w:t>
      </w:r>
    </w:p>
    <w:p>
      <w:r>
        <w:t>we don't own the mechanical/rail portion. §5.1.4 explicitly allows this:</w:t>
      </w:r>
    </w:p>
    <w:p>
      <w:pPr>
        <w:ind w:left="360"/>
      </w:pPr>
      <w:r>
        <w:rPr>
          <w:b/>
          <w:i/>
        </w:rPr>
        <w:t xml:space="preserve">Note: </w:t>
      </w:r>
      <w:r>
        <w:t>"the manufacturer may define and submit modules to be examined separately...</w:t>
      </w:r>
    </w:p>
    <w:p>
      <w:pPr>
        <w:ind w:left="360"/>
      </w:pPr>
      <w:r>
        <w:rPr>
          <w:b/>
          <w:i/>
        </w:rPr>
        <w:t xml:space="preserve">Note: </w:t>
      </w:r>
      <w:r>
        <w:t>where modules are manufactured and/or placed on the market as separate units</w:t>
      </w:r>
    </w:p>
    <w:p>
      <w:pPr>
        <w:ind w:left="360"/>
      </w:pPr>
      <w:r>
        <w:rPr>
          <w:b/>
          <w:i/>
        </w:rPr>
        <w:t xml:space="preserve">Note: </w:t>
      </w:r>
      <w:r>
        <w:t>to be incorporated in a complete instrument"</w:t>
      </w:r>
    </w:p>
    <w:p>
      <w:r>
        <w:t>Typical modules listed in §0.2.6 include: *load cell, indicator, analogue or</w:t>
      </w:r>
    </w:p>
    <w:p>
      <w:r>
        <w:t>digital data processing device, weighing module, terminal, primary display.*</w:t>
      </w:r>
    </w:p>
    <w:p>
      <w:r>
        <w:t xml:space="preserve">Our module maps to </w:t>
      </w:r>
      <w:r>
        <w:rPr>
          <w:b/>
        </w:rPr>
        <w:t>"indicator"</w:t>
      </w:r>
      <w:r>
        <w:t xml:space="preserve"> (§0.2.6.4) — displays the weighing result,</w:t>
      </w:r>
    </w:p>
    <w:p>
      <w:r>
        <w:t>does not itself have the load receptor.</w:t>
      </w:r>
    </w:p>
    <w:p>
      <w:pPr>
        <w:pStyle w:val="Heading3"/>
      </w:pPr>
      <w:r>
        <w:rPr>
          <w:rFonts w:ascii="Cambria" w:hAnsi="Cambria"/>
          <w:color w:val="000000"/>
        </w:rPr>
        <w:t>1.1 Error apportionment (§5.1.4.1)</w:t>
      </w:r>
    </w:p>
    <w:p>
      <w:r>
        <w:t xml:space="preserve">Each module gets a fraction </w:t>
      </w:r>
      <w:r>
        <w:rPr>
          <w:rFonts w:ascii="Consolas" w:hAnsi="Consolas"/>
        </w:rPr>
        <w:t>pi</w:t>
      </w:r>
      <w:r>
        <w:t xml:space="preserve"> of the complete instrument's mpe. For an</w:t>
      </w:r>
    </w:p>
    <w:p>
      <w:r>
        <w:t>"electronic indicator" specifically, Table 5 (§5.1.4.1) gives: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Performance criteria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 xml:space="preserve">Electronic indicator </w:t>
            </w:r>
            <w:r>
              <w:rPr>
                <w:rFonts w:ascii="Consolas" w:hAnsi="Consolas"/>
                <w:b/>
              </w:rPr>
              <w:t>pi</w:t>
            </w:r>
          </w:p>
        </w:tc>
      </w:tr>
      <w:tr>
        <w:tc>
          <w:tcPr>
            <w:tcW w:type="dxa" w:w="4320"/>
          </w:tcPr>
          <w:p>
            <w:r/>
            <w:r>
              <w:t>Combined effect (non-linearity, hysteresis, temp effect on span, repeatability)</w:t>
            </w:r>
          </w:p>
        </w:tc>
        <w:tc>
          <w:tcPr>
            <w:tcW w:type="dxa" w:w="4320"/>
          </w:tcPr>
          <w:p>
            <w:r/>
            <w:r>
              <w:t>0.5</w:t>
            </w:r>
          </w:p>
        </w:tc>
      </w:tr>
      <w:tr>
        <w:tc>
          <w:tcPr>
            <w:tcW w:type="dxa" w:w="4320"/>
          </w:tcPr>
          <w:p>
            <w:r/>
            <w:r>
              <w:t>Temperature effect on no-load indication</w:t>
            </w:r>
          </w:p>
        </w:tc>
        <w:tc>
          <w:tcPr>
            <w:tcW w:type="dxa" w:w="4320"/>
          </w:tcPr>
          <w:p>
            <w:r/>
            <w:r>
              <w:t>0.5</w:t>
            </w:r>
          </w:p>
        </w:tc>
      </w:tr>
      <w:tr>
        <w:tc>
          <w:tcPr>
            <w:tcW w:type="dxa" w:w="4320"/>
          </w:tcPr>
          <w:p>
            <w:r/>
            <w:r>
              <w:t>Power supply variation</w:t>
            </w:r>
          </w:p>
        </w:tc>
        <w:tc>
          <w:tcPr>
            <w:tcW w:type="dxa" w:w="4320"/>
          </w:tcPr>
          <w:p>
            <w:r/>
            <w:r>
              <w:t>1</w:t>
            </w:r>
          </w:p>
        </w:tc>
      </w:tr>
      <w:tr>
        <w:tc>
          <w:tcPr>
            <w:tcW w:type="dxa" w:w="4320"/>
          </w:tcPr>
          <w:p>
            <w:r/>
            <w:r>
              <w:t>Span stability</w:t>
            </w:r>
          </w:p>
        </w:tc>
        <w:tc>
          <w:tcPr>
            <w:tcW w:type="dxa" w:w="4320"/>
          </w:tcPr>
          <w:p>
            <w:r/>
            <w:r>
              <w:t>1</w:t>
            </w:r>
          </w:p>
        </w:tc>
      </w:tr>
    </w:tbl>
    <w:p/>
    <w:p>
      <w:r>
        <w:t>These fractions apply once the accuracy class of the *complete* instrument is</w:t>
      </w:r>
    </w:p>
    <w:p>
      <w:r>
        <w:t>known — confirm with whoever owns the mechanical/rail module what accuracy</w:t>
      </w:r>
    </w:p>
    <w:p>
      <w:r>
        <w:t>class (0.2 / 0.5 / 1 / 2) the complete system targets, since our module's</w:t>
      </w:r>
    </w:p>
    <w:p>
      <w:r>
        <w:t>error budget is a fraction of that, not a number we can pick independently.</w:t>
      </w:r>
    </w:p>
    <w:p>
      <w:r>
        <w:rPr>
          <w:b/>
        </w:rPr>
        <w:t>Action needed:</w:t>
      </w:r>
      <w:r>
        <w:t xml:space="preserve"> get the target accuracy class from the mechanical/rail</w:t>
      </w:r>
    </w:p>
    <w:p>
      <w:r>
        <w:t>team before the lab can compute pass/fail thresholds for our module's tests.</w:t>
      </w:r>
    </w:p>
    <w:p>
      <w:pPr>
        <w:pStyle w:val="Heading2"/>
      </w:pPr>
      <w:r>
        <w:rPr>
          <w:rFonts w:ascii="Cambria" w:hAnsi="Cambria"/>
          <w:color w:val="000000"/>
        </w:rPr>
        <w:t>2. Documentation to submit (§5.1.1)</w:t>
      </w:r>
    </w:p>
    <w:p>
      <w:r>
        <w:t>Checklist, with status against what exists in this repo today: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t>Metrological characteristics of the module</w:t>
            </w:r>
          </w:p>
        </w:tc>
        <w:tc>
          <w:tcPr>
            <w:tcW w:type="dxa" w:w="2880"/>
          </w:tcPr>
          <w:p>
            <w:r/>
            <w:r>
              <w:t>⬜ Not written</w:t>
            </w:r>
          </w:p>
        </w:tc>
        <w:tc>
          <w:tcPr>
            <w:tcW w:type="dxa" w:w="2880"/>
          </w:tcPr>
          <w:p>
            <w:r/>
            <w:r>
              <w:t>Need scale interval (d) as configured/expected from IND570, resolution</w:t>
            </w:r>
          </w:p>
        </w:tc>
      </w:tr>
      <w:tr>
        <w:tc>
          <w:tcPr>
            <w:tcW w:type="dxa" w:w="2880"/>
          </w:tcPr>
          <w:p>
            <w:r/>
            <w:r>
              <w:t>Functional description of components</w:t>
            </w:r>
          </w:p>
        </w:tc>
        <w:tc>
          <w:tcPr>
            <w:tcW w:type="dxa" w:w="2880"/>
          </w:tcPr>
          <w:p>
            <w:r/>
            <w:r>
              <w:t xml:space="preserve">✅ </w:t>
            </w:r>
            <w:r>
              <w:rPr>
                <w:rFonts w:ascii="Consolas" w:hAnsi="Consolas"/>
              </w:rPr>
              <w:t>SYSTEM_OVERVIEW.md</w:t>
            </w:r>
          </w:p>
        </w:tc>
        <w:tc>
          <w:tcPr>
            <w:tcW w:type="dxa" w:w="2880"/>
          </w:tcPr>
          <w:p>
            <w:r/>
            <w:r>
              <w:t>Covers threading model, UI, data flow — usable as a base</w:t>
            </w:r>
          </w:p>
        </w:tc>
      </w:tr>
      <w:tr>
        <w:tc>
          <w:tcPr>
            <w:tcW w:type="dxa" w:w="2880"/>
          </w:tcPr>
          <w:p>
            <w:r/>
            <w:r>
              <w:t>Drawings/diagrams/photos</w:t>
            </w:r>
          </w:p>
        </w:tc>
        <w:tc>
          <w:tcPr>
            <w:tcW w:type="dxa" w:w="2880"/>
          </w:tcPr>
          <w:p>
            <w:r/>
            <w:r>
              <w:t>⬜ Not prepared</w:t>
            </w:r>
          </w:p>
        </w:tc>
        <w:tc>
          <w:tcPr>
            <w:tcW w:type="dxa" w:w="2880"/>
          </w:tcPr>
          <w:p>
            <w:r/>
            <w:r>
              <w:t>A block diagram of IND570 → TCP → app → display would satisfy this</w:t>
            </w:r>
          </w:p>
        </w:tc>
      </w:tr>
      <w:tr>
        <w:tc>
          <w:tcPr>
            <w:tcW w:type="dxa" w:w="2880"/>
          </w:tcPr>
          <w:p>
            <w:r/>
            <w:r>
              <w:t>Interface documentation (§4.3.5.1)</w:t>
            </w:r>
          </w:p>
        </w:tc>
        <w:tc>
          <w:tcPr>
            <w:tcW w:type="dxa" w:w="2880"/>
          </w:tcPr>
          <w:p>
            <w:r/>
            <w:r>
              <w:t xml:space="preserve">✅ </w:t>
            </w:r>
            <w:r>
              <w:rPr>
                <w:rFonts w:ascii="Consolas" w:hAnsi="Consolas"/>
              </w:rPr>
              <w:t>ETHERNET_DATA_TRANSMISSION.md</w:t>
            </w:r>
          </w:p>
        </w:tc>
        <w:tc>
          <w:tcPr>
            <w:tcW w:type="dxa" w:w="2880"/>
          </w:tcPr>
          <w:p>
            <w:r/>
            <w:r>
              <w:t>Covers the TCP link; needs light editing into a formal "list of commands" format (see §5 below)</w:t>
            </w:r>
          </w:p>
        </w:tc>
      </w:tr>
      <w:tr>
        <w:tc>
          <w:tcPr>
            <w:tcW w:type="dxa" w:w="2880"/>
          </w:tcPr>
          <w:p>
            <w:r/>
            <w:r>
              <w:t>Software documentation (§3.8.1)</w:t>
            </w:r>
          </w:p>
        </w:tc>
        <w:tc>
          <w:tcPr>
            <w:tcW w:type="dxa" w:w="2880"/>
          </w:tcPr>
          <w:p>
            <w:r/>
            <w:r>
              <w:t>🟡 Partial</w:t>
            </w:r>
          </w:p>
        </w:tc>
        <w:tc>
          <w:tcPr>
            <w:tcW w:type="dxa" w:w="2880"/>
          </w:tcPr>
          <w:p>
            <w:r/>
            <w:r>
              <w:t>See §3 below — several sub-items missing</w:t>
            </w:r>
          </w:p>
        </w:tc>
      </w:tr>
      <w:tr>
        <w:tc>
          <w:tcPr>
            <w:tcW w:type="dxa" w:w="2880"/>
          </w:tcPr>
          <w:p>
            <w:r/>
            <w:r>
              <w:t>Software identification (§0.2.8.5, §3.11.1)</w:t>
            </w:r>
          </w:p>
        </w:tc>
        <w:tc>
          <w:tcPr>
            <w:tcW w:type="dxa" w:w="2880"/>
          </w:tcPr>
          <w:p>
            <w:r/>
            <w:r>
              <w:t>✅ Done this session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SOFTWARE_ID = "1.0.0"</w:t>
            </w:r>
            <w:r>
              <w:t xml:space="preserve"> constant, shown in window title</w:t>
            </w:r>
          </w:p>
        </w:tc>
      </w:tr>
      <w:tr>
        <w:tc>
          <w:tcPr>
            <w:tcW w:type="dxa" w:w="2880"/>
          </w:tcPr>
          <w:p>
            <w:r/>
            <w:r>
              <w:t>Description of securing components/interlocks</w:t>
            </w:r>
          </w:p>
        </w:tc>
        <w:tc>
          <w:tcPr>
            <w:tcW w:type="dxa" w:w="2880"/>
          </w:tcPr>
          <w:p>
            <w:r/>
            <w:r>
              <w:t>⬜ Not applicable / not implemented</w:t>
            </w:r>
          </w:p>
        </w:tc>
        <w:tc>
          <w:tcPr>
            <w:tcW w:type="dxa" w:w="2880"/>
          </w:tcPr>
          <w:p>
            <w:r/>
            <w:r>
              <w:t>See §4 — flagging as a gap, not a false "N/A"</w:t>
            </w:r>
          </w:p>
        </w:tc>
      </w:tr>
      <w:tr>
        <w:tc>
          <w:tcPr>
            <w:tcW w:type="dxa" w:w="2880"/>
          </w:tcPr>
          <w:p>
            <w:r/>
            <w:r>
              <w:t>Data storage device description (§3.5)</w:t>
            </w:r>
          </w:p>
        </w:tc>
        <w:tc>
          <w:tcPr>
            <w:tcW w:type="dxa" w:w="2880"/>
          </w:tcPr>
          <w:p>
            <w:r/>
            <w:r>
              <w:t>⬜ N/A currently</w:t>
            </w:r>
          </w:p>
        </w:tc>
        <w:tc>
          <w:tcPr>
            <w:tcW w:type="dxa" w:w="2880"/>
          </w:tcPr>
          <w:p>
            <w:r/>
            <w:r>
              <w:t>App does not persist measurement records — flag to lab as "not implemented in this module" rather than omitting</w:t>
            </w:r>
          </w:p>
        </w:tc>
      </w:tr>
      <w:tr>
        <w:tc>
          <w:tcPr>
            <w:tcW w:type="dxa" w:w="2880"/>
          </w:tcPr>
          <w:p>
            <w:r/>
            <w:r>
              <w:t>Operating manual</w:t>
            </w:r>
          </w:p>
        </w:tc>
        <w:tc>
          <w:tcPr>
            <w:tcW w:type="dxa" w:w="2880"/>
          </w:tcPr>
          <w:p>
            <w:r/>
            <w:r>
              <w:t>🟡 Partial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SYSTEM_OVERVIEW.md</w:t>
            </w:r>
            <w:r>
              <w:t xml:space="preserve"> functions as one but isn't labeled/structured as such yet</w:t>
            </w:r>
          </w:p>
        </w:tc>
      </w:tr>
    </w:tbl>
    <w:p/>
    <w:p>
      <w:pPr>
        <w:pStyle w:val="Heading2"/>
      </w:pPr>
      <w:r>
        <w:rPr>
          <w:rFonts w:ascii="Cambria" w:hAnsi="Cambria"/>
          <w:color w:val="000000"/>
        </w:rPr>
        <w:t>3. Software documentation gaps (§3.8.1)</w:t>
      </w:r>
    </w:p>
    <w:p>
      <w:r>
        <w:t>§3.8.1 lists what manufacturer software documentation "may include":</w:t>
      </w:r>
    </w:p>
    <w:p>
      <w:r>
        <w:t xml:space="preserve">a) </w:t>
      </w:r>
      <w:r>
        <w:rPr>
          <w:b/>
        </w:rPr>
        <w:t>Description of legally relevant software</w:t>
      </w:r>
      <w:r>
        <w:t xml:space="preserve"> — ⬜ not done. Need to state</w:t>
      </w:r>
    </w:p>
    <w:p>
      <w:r>
        <w:t xml:space="preserve">plainly: the entire </w:t>
      </w:r>
      <w:r>
        <w:rPr>
          <w:rFonts w:ascii="Consolas" w:hAnsi="Consolas"/>
        </w:rPr>
        <w:t>basic_interface_ind570.py</w:t>
      </w:r>
      <w:r>
        <w:t xml:space="preserve"> is legally relevant per</w:t>
      </w:r>
    </w:p>
    <w:p>
      <w:r>
        <w:t>§0.2.8.6 ("if no software separation exists, the whole software is to be</w:t>
      </w:r>
    </w:p>
    <w:p>
      <w:r>
        <w:t>considered as legally relevant") — there is currently no separation</w:t>
      </w:r>
    </w:p>
    <w:p>
      <w:r>
        <w:t>between metrologically relevant code (parsing, averaging, calibration)</w:t>
      </w:r>
    </w:p>
    <w:p>
      <w:r>
        <w:t>and non-relevant code (UI chrome). Simplest honest answer for the lab:</w:t>
      </w:r>
    </w:p>
    <w:p>
      <w:r>
        <w:t>declare the whole module as legally relevant rather than attempt a</w:t>
      </w:r>
    </w:p>
    <w:p>
      <w:r>
        <w:t>separation that doesn't exist yet.</w:t>
      </w:r>
    </w:p>
    <w:p>
      <w:r>
        <w:t xml:space="preserve">b) </w:t>
      </w:r>
      <w:r>
        <w:rPr>
          <w:b/>
        </w:rPr>
        <w:t>Description of the accuracy of the measuring algorithms</w:t>
      </w:r>
      <w:r>
        <w:t xml:space="preserve"> — ⬜ not</w:t>
      </w:r>
    </w:p>
    <w:p>
      <w:r>
        <w:t>written. This should describe: the rolling-average method (</w:t>
      </w:r>
      <w:r>
        <w:rPr>
          <w:rFonts w:ascii="Consolas" w:hAnsi="Consolas"/>
        </w:rPr>
        <w:t>SharedState</w:t>
      </w:r>
      <w:r>
        <w:t>,</w:t>
      </w:r>
    </w:p>
    <w:p>
      <w:r>
        <w:t>arithmetic mean over a configurable window), the unit-normalization</w:t>
      </w:r>
    </w:p>
    <w:p>
      <w:r>
        <w:t>conversions (kg/g/lb/t → kg), and explicitly flag that **"Tons" mode</w:t>
      </w:r>
    </w:p>
    <w:p>
      <w:r>
        <w:t xml:space="preserve">currently does not apply a ÷1000 conversion** (see </w:t>
      </w:r>
      <w:r>
        <w:rPr>
          <w:rFonts w:ascii="Consolas" w:hAnsi="Consolas"/>
        </w:rPr>
        <w:t>SYSTEM_OVERVIEW.md</w:t>
      </w:r>
    </w:p>
    <w:p>
      <w:r>
        <w:t>§5) — this is exactly the kind of accuracy claim a type evaluator will</w:t>
      </w:r>
    </w:p>
    <w:p>
      <w:r>
        <w:t>check, so it needs to either be fixed or explicitly documented as</w:t>
      </w:r>
    </w:p>
    <w:p>
      <w:r>
        <w:t>intentional before submission.</w:t>
      </w:r>
    </w:p>
    <w:p>
      <w:r>
        <w:t xml:space="preserve">c) </w:t>
      </w:r>
      <w:r>
        <w:rPr>
          <w:b/>
        </w:rPr>
        <w:t>Description of the user interface, menus and dialogues</w:t>
      </w:r>
      <w:r>
        <w:t xml:space="preserve"> — ✅ covered</w:t>
      </w:r>
    </w:p>
    <w:p>
      <w:r>
        <w:t xml:space="preserve">in </w:t>
      </w:r>
      <w:r>
        <w:rPr>
          <w:rFonts w:ascii="Consolas" w:hAnsi="Consolas"/>
        </w:rPr>
        <w:t>SYSTEM_OVERVIEW.md</w:t>
      </w:r>
      <w:r>
        <w:t xml:space="preserve"> §4.</w:t>
      </w:r>
    </w:p>
    <w:p>
      <w:r>
        <w:t xml:space="preserve">d) </w:t>
      </w:r>
      <w:r>
        <w:rPr>
          <w:b/>
        </w:rPr>
        <w:t>Unambiguous software identification</w:t>
      </w:r>
      <w:r>
        <w:t xml:space="preserve"> — ✅ done this session.</w:t>
      </w:r>
    </w:p>
    <w:p>
      <w:r>
        <w:t xml:space="preserve">e) </w:t>
      </w:r>
      <w:r>
        <w:rPr>
          <w:b/>
        </w:rPr>
        <w:t>Description of the embedded software</w:t>
      </w:r>
      <w:r>
        <w:t xml:space="preserve"> — N/A (this runs on a general</w:t>
      </w:r>
    </w:p>
    <w:p>
      <w:r>
        <w:t>PC, not embedded firmware) — should be stated as such rather than left</w:t>
      </w:r>
    </w:p>
    <w:p>
      <w:r>
        <w:t>blank.</w:t>
      </w:r>
    </w:p>
    <w:p>
      <w:r>
        <w:t xml:space="preserve">f) </w:t>
      </w:r>
      <w:r>
        <w:rPr>
          <w:b/>
        </w:rPr>
        <w:t>Overview of system hardware</w:t>
      </w:r>
      <w:r>
        <w:t xml:space="preserve"> — 🟡 partial. </w:t>
      </w:r>
      <w:r>
        <w:rPr>
          <w:rFonts w:ascii="Consolas" w:hAnsi="Consolas"/>
        </w:rPr>
        <w:t>ETHERNET_DATA_TRANSMISSION.md</w:t>
      </w:r>
    </w:p>
    <w:p>
      <w:r>
        <w:t>covers the network topology; a one-paragraph "runs on a standard Windows</w:t>
      </w:r>
    </w:p>
    <w:p>
      <w:r>
        <w:t>PC, no embedded hardware" statement would close this out.</w:t>
      </w:r>
    </w:p>
    <w:p>
      <w:r>
        <w:t xml:space="preserve">g) </w:t>
      </w:r>
      <w:r>
        <w:rPr>
          <w:b/>
        </w:rPr>
        <w:t>Means of securing software</w:t>
      </w:r>
      <w:r>
        <w:t xml:space="preserve"> — ⬜ real gap, see §4.</w:t>
      </w:r>
    </w:p>
    <w:p>
      <w:r>
        <w:t xml:space="preserve">h) </w:t>
      </w:r>
      <w:r>
        <w:rPr>
          <w:b/>
        </w:rPr>
        <w:t>Operating manual</w:t>
      </w:r>
      <w:r>
        <w:t xml:space="preserve"> — 🟡 as above.</w:t>
      </w:r>
    </w:p>
    <w:p>
      <w:pPr>
        <w:pStyle w:val="Heading2"/>
      </w:pPr>
      <w:r>
        <w:rPr>
          <w:rFonts w:ascii="Cambria" w:hAnsi="Cambria"/>
          <w:color w:val="000000"/>
        </w:rPr>
        <w:t>3a. Descriptive markings owed by this module (§3.11)</w:t>
      </w:r>
    </w:p>
    <w:p>
      <w:r>
        <w:t>§3.11 requires markings "at each location having a mass indicating device" —</w:t>
      </w:r>
    </w:p>
    <w:p>
      <w:r>
        <w:t>our display screen is that location. §3.11.4 explicitly allows markings to</w:t>
      </w:r>
    </w:p>
    <w:p>
      <w:r>
        <w:t>be shown on a software-controlled display instead of a physical plate,</w:t>
      </w:r>
    </w:p>
    <w:p>
      <w:r>
        <w:rPr>
          <w:b/>
        </w:rPr>
        <w:t>provided</w:t>
      </w:r>
      <w:r>
        <w:t>:</w:t>
      </w:r>
    </w:p>
    <w:p>
      <w:pPr>
        <w:pStyle w:val="ListBullet"/>
      </w:pPr>
      <w:r>
        <w:t>Max, Min, and d are displayed as long as the instrument is switched on</w:t>
      </w:r>
    </w:p>
    <w:p>
      <w:pPr>
        <w:pStyle w:val="ListBullet"/>
      </w:pPr>
      <w:r>
        <w:t>other markings may be shown on manual command</w:t>
      </w:r>
    </w:p>
    <w:p>
      <w:pPr>
        <w:pStyle w:val="ListBullet"/>
      </w:pPr>
      <w:r>
        <w:t>this is described in the type approval certificate</w:t>
      </w:r>
    </w:p>
    <w:p>
      <w:pPr>
        <w:pStyle w:val="ListBullet"/>
      </w:pPr>
      <w:r>
        <w:t>the markings are treated as device-specific parameters (§0.2.8.4) — i.e.</w:t>
      </w:r>
    </w:p>
    <w:p>
      <w:r>
        <w:t>subject to the same securing requirements as §3.8/§3.9</w:t>
      </w:r>
    </w:p>
    <w:p>
      <w:r>
        <w:t>Current UI (</w:t>
      </w:r>
      <w:r>
        <w:rPr>
          <w:rFonts w:ascii="Consolas" w:hAnsi="Consolas"/>
        </w:rPr>
        <w:t>basic_interface_ind570.py</w:t>
      </w:r>
      <w:r>
        <w:t xml:space="preserve">) does </w:t>
      </w:r>
      <w:r>
        <w:rPr>
          <w:b/>
        </w:rPr>
        <w:t>not</w:t>
      </w:r>
      <w:r>
        <w:t xml:space="preserve"> display any of these</w:t>
      </w:r>
    </w:p>
    <w:p>
      <w:r>
        <w:t>persistently. Concretely missing from the always-visible screen: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Marking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Required by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Currently shown?</w:t>
            </w:r>
          </w:p>
        </w:tc>
      </w:tr>
      <w:tr>
        <w:tc>
          <w:tcPr>
            <w:tcW w:type="dxa" w:w="2880"/>
          </w:tcPr>
          <w:p>
            <w:r/>
            <w:r>
              <w:t>Max (maximum capacity)</w:t>
            </w:r>
          </w:p>
        </w:tc>
        <w:tc>
          <w:tcPr>
            <w:tcW w:type="dxa" w:w="2880"/>
          </w:tcPr>
          <w:p>
            <w:r/>
            <w:r>
              <w:t>§3.11.4 (always-on)</w:t>
            </w:r>
          </w:p>
        </w:tc>
        <w:tc>
          <w:tcPr>
            <w:tcW w:type="dxa" w:w="2880"/>
          </w:tcPr>
          <w:p>
            <w:r/>
            <w:r>
              <w:t>❌ no</w:t>
            </w:r>
          </w:p>
        </w:tc>
      </w:tr>
      <w:tr>
        <w:tc>
          <w:tcPr>
            <w:tcW w:type="dxa" w:w="2880"/>
          </w:tcPr>
          <w:p>
            <w:r/>
            <w:r>
              <w:t>Min (minimum capacity)</w:t>
            </w:r>
          </w:p>
        </w:tc>
        <w:tc>
          <w:tcPr>
            <w:tcW w:type="dxa" w:w="2880"/>
          </w:tcPr>
          <w:p>
            <w:r/>
            <w:r>
              <w:t>§3.11.4 (always-on)</w:t>
            </w:r>
          </w:p>
        </w:tc>
        <w:tc>
          <w:tcPr>
            <w:tcW w:type="dxa" w:w="2880"/>
          </w:tcPr>
          <w:p>
            <w:r/>
            <w:r>
              <w:t>❌ no</w:t>
            </w:r>
          </w:p>
        </w:tc>
      </w:tr>
      <w:tr>
        <w:tc>
          <w:tcPr>
            <w:tcW w:type="dxa" w:w="2880"/>
          </w:tcPr>
          <w:p>
            <w:r/>
            <w:r>
              <w:t>d (scale interval)</w:t>
            </w:r>
          </w:p>
        </w:tc>
        <w:tc>
          <w:tcPr>
            <w:tcW w:type="dxa" w:w="2880"/>
          </w:tcPr>
          <w:p>
            <w:r/>
            <w:r>
              <w:t>§3.11.4 (always-on)</w:t>
            </w:r>
          </w:p>
        </w:tc>
        <w:tc>
          <w:tcPr>
            <w:tcW w:type="dxa" w:w="2880"/>
          </w:tcPr>
          <w:p>
            <w:r/>
            <w:r>
              <w:t>❌ no</w:t>
            </w:r>
          </w:p>
        </w:tc>
      </w:tr>
      <w:tr>
        <w:tc>
          <w:tcPr>
            <w:tcW w:type="dxa" w:w="2880"/>
          </w:tcPr>
          <w:p>
            <w:r/>
            <w:r>
              <w:t>Software identification</w:t>
            </w:r>
          </w:p>
        </w:tc>
        <w:tc>
          <w:tcPr>
            <w:tcW w:type="dxa" w:w="2880"/>
          </w:tcPr>
          <w:p>
            <w:r/>
            <w:r>
              <w:t>§3.11.1</w:t>
            </w:r>
          </w:p>
        </w:tc>
        <w:tc>
          <w:tcPr>
            <w:tcW w:type="dxa" w:w="2880"/>
          </w:tcPr>
          <w:p>
            <w:r/>
            <w:r>
              <w:t>✅ now in window title (</w:t>
            </w:r>
            <w:r>
              <w:rPr>
                <w:rFonts w:ascii="Consolas" w:hAnsi="Consolas"/>
              </w:rPr>
              <w:t>SOFTWARE_ID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/>
            <w:r>
              <w:t>Manufacturer name/ID</w:t>
            </w:r>
          </w:p>
        </w:tc>
        <w:tc>
          <w:tcPr>
            <w:tcW w:type="dxa" w:w="2880"/>
          </w:tcPr>
          <w:p>
            <w:r/>
            <w:r>
              <w:t>§3.11.4 (on the plate even when display-controlled)</w:t>
            </w:r>
          </w:p>
        </w:tc>
        <w:tc>
          <w:tcPr>
            <w:tcW w:type="dxa" w:w="2880"/>
          </w:tcPr>
          <w:p>
            <w:r/>
            <w:r>
              <w:t>❌ no</w:t>
            </w:r>
          </w:p>
        </w:tc>
      </w:tr>
      <w:tr>
        <w:tc>
          <w:tcPr>
            <w:tcW w:type="dxa" w:w="2880"/>
          </w:tcPr>
          <w:p>
            <w:r/>
            <w:r>
              <w:t>Supply voltage</w:t>
            </w:r>
          </w:p>
        </w:tc>
        <w:tc>
          <w:tcPr>
            <w:tcW w:type="dxa" w:w="2880"/>
          </w:tcPr>
          <w:p>
            <w:r/>
            <w:r>
              <w:t>§3.11.4</w:t>
            </w:r>
          </w:p>
        </w:tc>
        <w:tc>
          <w:tcPr>
            <w:tcW w:type="dxa" w:w="2880"/>
          </w:tcPr>
          <w:p>
            <w:r/>
            <w:r>
              <w:t>N/A — not applicable to PC software; state explicitly</w:t>
            </w:r>
          </w:p>
        </w:tc>
      </w:tr>
      <w:tr>
        <w:tc>
          <w:tcPr>
            <w:tcW w:type="dxa" w:w="2880"/>
          </w:tcPr>
          <w:p>
            <w:r/>
            <w:r>
              <w:t>Type approval sign</w:t>
            </w:r>
          </w:p>
        </w:tc>
        <w:tc>
          <w:tcPr>
            <w:tcW w:type="dxa" w:w="2880"/>
          </w:tcPr>
          <w:p>
            <w:r/>
            <w:r>
              <w:t>§3.11.4</w:t>
            </w:r>
          </w:p>
        </w:tc>
        <w:tc>
          <w:tcPr>
            <w:tcW w:type="dxa" w:w="2880"/>
          </w:tcPr>
          <w:p>
            <w:r/>
            <w:r>
              <w:t>Not yet issued — placeholder until approval granted</w:t>
            </w:r>
          </w:p>
        </w:tc>
      </w:tr>
      <w:tr>
        <w:tc>
          <w:tcPr>
            <w:tcW w:type="dxa" w:w="2880"/>
          </w:tcPr>
          <w:p>
            <w:r/>
            <w:r>
              <w:t>Accuracy class</w:t>
            </w:r>
          </w:p>
        </w:tc>
        <w:tc>
          <w:tcPr>
            <w:tcW w:type="dxa" w:w="2880"/>
          </w:tcPr>
          <w:p>
            <w:r/>
            <w:r>
              <w:t>§3.11.2.1 (code, on manual command acceptable)</w:t>
            </w:r>
          </w:p>
        </w:tc>
        <w:tc>
          <w:tcPr>
            <w:tcW w:type="dxa" w:w="2880"/>
          </w:tcPr>
          <w:p>
            <w:r/>
            <w:r>
              <w:t>❌ no</w:t>
            </w:r>
          </w:p>
        </w:tc>
      </w:tr>
      <w:tr>
        <w:tc>
          <w:tcPr>
            <w:tcW w:type="dxa" w:w="2880"/>
          </w:tcPr>
          <w:p>
            <w:r/>
            <w:r>
              <w:t>Weighing method</w:t>
            </w:r>
          </w:p>
        </w:tc>
        <w:tc>
          <w:tcPr>
            <w:tcW w:type="dxa" w:w="2880"/>
          </w:tcPr>
          <w:p>
            <w:r/>
            <w:r>
              <w:t>§3.11.1</w:t>
            </w:r>
          </w:p>
        </w:tc>
        <w:tc>
          <w:tcPr>
            <w:tcW w:type="dxa" w:w="2880"/>
          </w:tcPr>
          <w:p>
            <w:r/>
            <w:r>
              <w:t>❌ no — should state "static display of IND570-sourced value"</w:t>
            </w:r>
          </w:p>
        </w:tc>
      </w:tr>
    </w:tbl>
    <w:p/>
    <w:p>
      <w:r>
        <w:rPr>
          <w:b/>
        </w:rPr>
        <w:t>This is a real, fixable UI gap</w:t>
      </w:r>
      <w:r>
        <w:t xml:space="preserve"> — if the plan is to rely on §3.11.4's</w:t>
      </w:r>
    </w:p>
    <w:p>
      <w:r>
        <w:t>allowance for a software-controlled display rather than a physical plate,</w:t>
      </w:r>
    </w:p>
    <w:p>
      <w:r>
        <w:t>the app needs a persistent status area (or footer) showing at minimum</w:t>
      </w:r>
    </w:p>
    <w:p>
      <w:r>
        <w:t>Max/Min/d, and a way to bring up the rest "on manual command" (e.g. an</w:t>
      </w:r>
    </w:p>
    <w:p>
      <w:r>
        <w:t>About/Info dialog). Worth deciding whether to build this before submission</w:t>
      </w:r>
    </w:p>
    <w:p>
      <w:r>
        <w:t>or handle descriptive markings via a physical plate on the IND570 instead,</w:t>
      </w:r>
    </w:p>
    <w:p>
      <w:r>
        <w:t>which may already satisfy this if the IND570 itself carries these markings.</w:t>
      </w:r>
    </w:p>
    <w:p>
      <w:pPr>
        <w:pStyle w:val="Heading2"/>
      </w:pPr>
      <w:r>
        <w:rPr>
          <w:rFonts w:ascii="Cambria" w:hAnsi="Cambria"/>
          <w:color w:val="000000"/>
        </w:rPr>
        <w:t>4. Securing requirements (§3.8.2, §3.9) — genuine gaps</w:t>
      </w:r>
    </w:p>
    <w:p>
      <w:r>
        <w:t>This is the area with the most actual work, not just documentation:</w:t>
      </w:r>
    </w:p>
    <w:p>
      <w:pPr>
        <w:pStyle w:val="ListBullet"/>
      </w:pPr>
      <w:r>
        <w:rPr>
          <w:b/>
        </w:rPr>
        <w:t>§3.8.2(a):</w:t>
      </w:r>
      <w:r>
        <w:t xml:space="preserve"> "legally relevant software shall be adequately protected</w:t>
      </w:r>
    </w:p>
    <w:p>
      <w:r>
        <w:t xml:space="preserve">against accidental or intentional changes." Currently: the </w:t>
      </w:r>
      <w:r>
        <w:rPr>
          <w:rFonts w:ascii="Consolas" w:hAnsi="Consolas"/>
        </w:rPr>
        <w:t>.py</w:t>
      </w:r>
      <w:r>
        <w:t xml:space="preserve"> source</w:t>
      </w:r>
    </w:p>
    <w:p>
      <w:r>
        <w:t xml:space="preserve">and the packaged </w:t>
      </w:r>
      <w:r>
        <w:rPr>
          <w:rFonts w:ascii="Consolas" w:hAnsi="Consolas"/>
        </w:rPr>
        <w:t>.exe</w:t>
      </w:r>
      <w:r>
        <w:t xml:space="preserve"> have no integrity protection, no code signing, no</w:t>
      </w:r>
    </w:p>
    <w:p>
      <w:r>
        <w:t>checksum verification at runtime. Worth discussing with the lab what's</w:t>
      </w:r>
    </w:p>
    <w:p>
      <w:r>
        <w:t>acceptable for a module submission — a common minimum is documenting the</w:t>
      </w:r>
    </w:p>
    <w:p>
      <w:r>
        <w:t>build/release process (this repo's GitHub Actions workflow) as the</w:t>
      </w:r>
    </w:p>
    <w:p>
      <w:r>
        <w:t>control, plus the software-identification string added this session as</w:t>
      </w:r>
    </w:p>
    <w:p>
      <w:r>
        <w:t>the means of detecting drift.</w:t>
      </w:r>
    </w:p>
    <w:p>
      <w:pPr>
        <w:pStyle w:val="ListBullet"/>
      </w:pPr>
      <w:r>
        <w:rPr>
          <w:b/>
        </w:rPr>
        <w:t>§3.9.2(a):</w:t>
      </w:r>
      <w:r>
        <w:t xml:space="preserve"> access control by code/key for anything that changes</w:t>
      </w:r>
    </w:p>
    <w:p>
      <w:r>
        <w:t xml:space="preserve">legally-relevant parameters. Currently: </w:t>
      </w:r>
      <w:r>
        <w:rPr>
          <w:b/>
        </w:rPr>
        <w:t>no such control exists</w:t>
      </w:r>
      <w:r>
        <w:t xml:space="preserve"> —</w:t>
      </w:r>
    </w:p>
    <w:p>
      <w:r>
        <w:rPr>
          <w:rFonts w:ascii="Consolas" w:hAnsi="Consolas"/>
        </w:rPr>
        <w:t>IND570_HOST</w:t>
      </w:r>
      <w:r>
        <w:t>/</w:t>
      </w:r>
      <w:r>
        <w:rPr>
          <w:rFonts w:ascii="Consolas" w:hAnsi="Consolas"/>
        </w:rPr>
        <w:t>IND570_PORT</w:t>
      </w:r>
      <w:r>
        <w:t xml:space="preserve"> and the averaging window are either hardcoded</w:t>
      </w:r>
    </w:p>
    <w:p>
      <w:r>
        <w:t>or freely editable via the UI (the "Average by N measurements" spinner,</w:t>
      </w:r>
    </w:p>
    <w:p>
      <w:r>
        <w:t>calibration offset fields) with no authorization step. If the calibration</w:t>
      </w:r>
    </w:p>
    <w:p>
      <w:r>
        <w:t>offset (</w:t>
      </w:r>
      <w:r>
        <w:rPr>
          <w:rFonts w:ascii="Consolas" w:hAnsi="Consolas"/>
        </w:rPr>
        <w:t>_cal_offset</w:t>
      </w:r>
      <w:r>
        <w:t>, per-channel) is considered a legally-relevant</w:t>
      </w:r>
    </w:p>
    <w:p>
      <w:r>
        <w:t>parameter, this is a real compliance gap, not just a documentation one —</w:t>
      </w:r>
    </w:p>
    <w:p>
      <w:r>
        <w:t>flag this specifically to whoever is coordinating the submission, since it</w:t>
      </w:r>
    </w:p>
    <w:p>
      <w:r>
        <w:t>may need a code change (e.g., a password-gated calibration mode) before</w:t>
      </w:r>
    </w:p>
    <w:p>
      <w:r>
        <w:t>the lab will accept it.</w:t>
      </w:r>
    </w:p>
    <w:p>
      <w:pPr>
        <w:pStyle w:val="ListBullet"/>
      </w:pPr>
      <w:r>
        <w:rPr>
          <w:b/>
        </w:rPr>
        <w:t>§3.9.2(b):</w:t>
      </w:r>
      <w:r>
        <w:t xml:space="preserve"> intervention records (who changed what, when) — not</w:t>
      </w:r>
    </w:p>
    <w:p>
      <w:r>
        <w:t>implemented. No audit trail exists in the app.</w:t>
      </w:r>
    </w:p>
    <w:p>
      <w:r>
        <w:t>**These three are the items most likely to actually block type approval as</w:t>
      </w:r>
    </w:p>
    <w:p>
      <w:r>
        <w:t>currently built** — worth raising early with the lab/certifying body rather</w:t>
      </w:r>
    </w:p>
    <w:p>
      <w:r>
        <w:t>than discovering it during evaluation.</w:t>
      </w:r>
    </w:p>
    <w:p>
      <w:pPr>
        <w:pStyle w:val="Heading2"/>
      </w:pPr>
      <w:r>
        <w:rPr>
          <w:rFonts w:ascii="Cambria" w:hAnsi="Cambria"/>
          <w:color w:val="000000"/>
        </w:rPr>
        <w:t>5. Interface documentation format (§4.3.5.1)</w:t>
      </w:r>
    </w:p>
    <w:p>
      <w:r>
        <w:t>The lab wants, formally: (a) list of all commands, (b) description of the</w:t>
      </w:r>
    </w:p>
    <w:p>
      <w:r>
        <w:t>software interface, (c) list of all commands together [sic — likely</w:t>
      </w:r>
    </w:p>
    <w:p>
      <w:r>
        <w:t>duplicate wording in the standard], (d) effect of each on functions/data.</w:t>
      </w:r>
    </w:p>
    <w:p>
      <w:r>
        <w:rPr>
          <w:rFonts w:ascii="Consolas" w:hAnsi="Consolas"/>
        </w:rPr>
        <w:t>ETHERNET_DATA_TRANSMISSION.md</w:t>
      </w:r>
      <w:r>
        <w:t xml:space="preserve"> already has the substance (TCP client,</w:t>
      </w:r>
    </w:p>
    <w:p>
      <w:r>
        <w:t>port 1702, ASCII line protocol, regex-based parsing) but not in a</w:t>
      </w:r>
    </w:p>
    <w:p>
      <w:r>
        <w:t>command-list format, because the IND570 link isn't a command/response</w:t>
      </w:r>
    </w:p>
    <w:p>
      <w:r>
        <w:t>protocol — it's a continuous one-way data stream. Recommend explicitly</w:t>
      </w:r>
    </w:p>
    <w:p>
      <w:r>
        <w:t>stating this asymmetry to the lab: "the interface accepts no commands from</w:t>
      </w:r>
    </w:p>
    <w:p>
      <w:r>
        <w:t>this module; it is a read-only continuous data stream from the IND570,"</w:t>
      </w:r>
    </w:p>
    <w:p>
      <w:r>
        <w:t>which satisfies (a)–(d) by stating there are no commands rather than</w:t>
      </w:r>
    </w:p>
    <w:p>
      <w:r>
        <w:t>leaving the section blank.</w:t>
      </w:r>
    </w:p>
    <w:p>
      <w:pPr>
        <w:pStyle w:val="Heading2"/>
      </w:pPr>
      <w:r>
        <w:rPr>
          <w:rFonts w:ascii="Cambria" w:hAnsi="Cambria"/>
          <w:color w:val="000000"/>
        </w:rPr>
        <w:t>6. What the lab will test on our module specifically (Annex A, as a module)</w:t>
      </w:r>
    </w:p>
    <w:p>
      <w:r>
        <w:t>Per §5.1.2, "Instruments may be tested on the premises of the metrological</w:t>
      </w:r>
    </w:p>
    <w:p>
      <w:r>
        <w:t>authority" — for a module, expect at minimum:</w:t>
      </w:r>
    </w:p>
    <w:p>
      <w:pPr>
        <w:pStyle w:val="ListBullet"/>
      </w:pPr>
      <w:r>
        <w:rPr>
          <w:b/>
        </w:rPr>
        <w:t>A.6.2</w:t>
      </w:r>
      <w:r>
        <w:t xml:space="preserve"> Agreement between indicating and printing devices — N/A, no</w:t>
      </w:r>
    </w:p>
    <w:p>
      <w:r>
        <w:t>printing device exists in this module; state explicitly.</w:t>
      </w:r>
    </w:p>
    <w:p>
      <w:pPr>
        <w:pStyle w:val="ListBullet"/>
      </w:pPr>
      <w:r>
        <w:rPr>
          <w:b/>
        </w:rPr>
        <w:t>A.6.4</w:t>
      </w:r>
      <w:r>
        <w:t xml:space="preserve"> Functionality at voltages below minimum operating voltage — N/A</w:t>
      </w:r>
    </w:p>
    <w:p>
      <w:r>
        <w:t>for software running on a general PC; the PC's own power behavior isn't</w:t>
      </w:r>
    </w:p>
    <w:p>
      <w:r>
        <w:t>ours to certify. Flag this boundary explicitly to the lab.</w:t>
      </w:r>
    </w:p>
    <w:p>
      <w:pPr>
        <w:pStyle w:val="ListBullet"/>
      </w:pPr>
      <w:r>
        <w:rPr>
          <w:b/>
        </w:rPr>
        <w:t>A.7.2 / A.7.3</w:t>
      </w:r>
      <w:r>
        <w:t xml:space="preserve"> Influence factor and disturbance tests (temperature,</w:t>
      </w:r>
    </w:p>
    <w:p>
      <w:r>
        <w:t>humidity, AC voltage, ESD, bursts, surges, EMC) — these typically apply to</w:t>
      </w:r>
    </w:p>
    <w:p>
      <w:r>
        <w:t xml:space="preserve">the </w:t>
      </w:r>
      <w:r>
        <w:rPr>
          <w:b/>
        </w:rPr>
        <w:t>indicator hardware</w:t>
      </w:r>
      <w:r>
        <w:t xml:space="preserve"> (the IND570 itself, which Mettler-Toledo has</w:t>
      </w:r>
    </w:p>
    <w:p>
      <w:r>
        <w:t>presumably already type-approved separately) rather than to display</w:t>
      </w:r>
    </w:p>
    <w:p>
      <w:r>
        <w:t>software running on a PC. Worth clarifying with the lab whether our</w:t>
      </w:r>
    </w:p>
    <w:p>
      <w:r>
        <w:t>module even needs Annex A.7 testing, or whether that burden sits with the</w:t>
      </w:r>
    </w:p>
    <w:p>
      <w:r>
        <w:t>IND570's own existing OIML approval and only the *software's calculation</w:t>
      </w:r>
    </w:p>
    <w:p>
      <w:r>
        <w:t>accuracy* (A.5, static weighing performance) needs re-verification here.</w:t>
      </w:r>
    </w:p>
    <w:p>
      <w:pPr>
        <w:pStyle w:val="ListBullet"/>
      </w:pPr>
      <w:r>
        <w:rPr>
          <w:b/>
        </w:rPr>
        <w:t>A.8</w:t>
      </w:r>
      <w:r>
        <w:t xml:space="preserve"> Span stability — depends on whether "span" means anything at the</w:t>
      </w:r>
    </w:p>
    <w:p>
      <w:r>
        <w:t>software layer (it doesn't add/remove span, only displays/averages what</w:t>
      </w:r>
    </w:p>
    <w:p>
      <w:r>
        <w:t>IND570 sends) — likely N/A, but confirm rather than assume.</w:t>
      </w:r>
    </w:p>
    <w:p>
      <w:r>
        <w:t>**Recommend getting this scoping confirmed by the lab in writing before</w:t>
      </w:r>
    </w:p>
    <w:p>
      <w:r>
        <w:t>investing further prep time** — a large fraction of Annex A is written for</w:t>
      </w:r>
    </w:p>
    <w:p>
      <w:r>
        <w:t>instruments with their own load cell/ADC/environmental exposure, which this</w:t>
      </w:r>
    </w:p>
    <w:p>
      <w:r>
        <w:t>software module does not have.</w:t>
      </w:r>
    </w:p>
    <w:p>
      <w:pPr>
        <w:pStyle w:val="Heading2"/>
      </w:pPr>
      <w:r>
        <w:rPr>
          <w:rFonts w:ascii="Cambria" w:hAnsi="Cambria"/>
          <w:color w:val="000000"/>
        </w:rPr>
        <w:t>7. Immediate action items</w:t>
      </w:r>
    </w:p>
    <w:p>
      <w:pPr>
        <w:pStyle w:val="ListNumber"/>
      </w:pPr>
      <w:r>
        <w:t>Confirm with the lab/certifying body: does OIML R 106-1 module evaluation</w:t>
      </w:r>
    </w:p>
    <w:p>
      <w:r>
        <w:t>even apply the way we're assuming, or is there a more specific pathway</w:t>
      </w:r>
    </w:p>
    <w:p>
      <w:r>
        <w:t>for "display software only, IND570 already certified separately"?</w:t>
      </w:r>
    </w:p>
    <w:p>
      <w:pPr>
        <w:pStyle w:val="ListNumber"/>
      </w:pPr>
      <w:r>
        <w:t>Get the target accuracy class from the mechanical/rail team (needed for</w:t>
      </w:r>
    </w:p>
    <w:p>
      <w:r>
        <w:t>§5.1.4.1 error apportionment).</w:t>
      </w:r>
    </w:p>
    <w:p>
      <w:pPr>
        <w:pStyle w:val="ListNumber"/>
      </w:pPr>
      <w:r>
        <w:t>Decide whether to fix the "Tons mode doesn't actually convert" issue</w:t>
      </w:r>
    </w:p>
    <w:p>
      <w:r>
        <w:t>(</w:t>
      </w:r>
      <w:r>
        <w:rPr>
          <w:rFonts w:ascii="Consolas" w:hAnsi="Consolas"/>
        </w:rPr>
        <w:t>SYSTEM_OVERVIEW.md</w:t>
      </w:r>
      <w:r>
        <w:t xml:space="preserve"> §5) before submission, or document it as</w:t>
      </w:r>
    </w:p>
    <w:p>
      <w:r>
        <w:t>intentional/known — a type evaluator will find this either way.</w:t>
      </w:r>
    </w:p>
    <w:p>
      <w:pPr>
        <w:pStyle w:val="ListNumber"/>
      </w:pPr>
      <w:r>
        <w:t>Decide how to handle §3.9.2(a) access control on calibration/config</w:t>
      </w:r>
    </w:p>
    <w:p>
      <w:r>
        <w:t>parameters — likely needs a code change, not just documentation.</w:t>
      </w:r>
    </w:p>
    <w:p>
      <w:pPr>
        <w:pStyle w:val="ListNumber"/>
      </w:pPr>
      <w:r>
        <w:t>Confirm with the lab whether Annex A.7 influence/disturbance testing</w:t>
      </w:r>
    </w:p>
    <w:p>
      <w:r>
        <w:t>applies to this software module or sits entirely with the IND570's own</w:t>
      </w:r>
    </w:p>
    <w:p>
      <w:r>
        <w:t>prior approval.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mbria" w:hAnsi="Cambria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